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6.png" ContentType="image/png"/>
  <Override PartName="/word/media/rId32.png" ContentType="image/png"/>
  <Override PartName="/word/media/rId37.png" ContentType="image/png"/>
  <Override PartName="/word/media/rId43.png" ContentType="image/png"/>
  <Override PartName="/word/media/rId4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Katolički influenceri i institucionalni deficit pažnje</w:t>
      </w:r>
    </w:p>
    <w:p>
      <w:pPr>
        <w:pStyle w:val="Subtitle"/>
      </w:pPr>
      <w:r>
        <w:t xml:space="preserve">Usporedba kreatorskih i službenih crkvenih izvora u hrvatskom digitalnom medijskom prostoru, 2021.–2026.</w:t>
      </w:r>
    </w:p>
    <w:p>
      <w:pPr>
        <w:pStyle w:val="Author"/>
      </w:pPr>
      <w:r>
        <w:t xml:space="preserve">Suzana Obrovac Lipar</w:t>
      </w:r>
    </w:p>
    <w:p>
      <w:pPr>
        <w:pStyle w:val="Author"/>
      </w:pPr>
      <w:r>
        <w:t xml:space="preserve">Luka Šikić</w:t>
      </w:r>
    </w:p>
    <w:p>
      <w:pPr>
        <w:pStyle w:val="Date"/>
      </w:pPr>
      <w:r>
        <w:t xml:space="preserve">2026-08-12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sažetak"/>
    <w:p>
      <w:pPr>
        <w:pStyle w:val="Heading1"/>
      </w:pPr>
      <w:r>
        <w:t xml:space="preserve">Sažetak</w:t>
      </w:r>
    </w:p>
    <w:p>
      <w:pPr>
        <w:pStyle w:val="FirstParagraph"/>
      </w:pPr>
      <w:r>
        <w:t xml:space="preserve">Institucionalni autoritet ne jamči digitalnu pažnju, ali usporedba crkvenih institucija i religijskih</w:t>
      </w:r>
      <w:r>
        <w:t xml:space="preserve"> </w:t>
      </w:r>
      <w:r>
        <w:t xml:space="preserve">kreatora lako zamijeni razliku među akterima razlikom među platformama. Rad analizira</w:t>
      </w:r>
      <w:r>
        <w:t xml:space="preserve"> </w:t>
      </w:r>
      <w:r>
        <w:t xml:space="preserve">413.985 objava prikupljenih u hrvatskom digitalnom medijskom prostoru</w:t>
      </w:r>
      <w:r>
        <w:t xml:space="preserve"> </w:t>
      </w:r>
      <w:r>
        <w:t xml:space="preserve">od 1. siječnja 2021. do 11. lipnja 2026. Primarni analitički skup obuhvaća</w:t>
      </w:r>
      <w:r>
        <w:t xml:space="preserve"> </w:t>
      </w:r>
      <w:r>
        <w:t xml:space="preserve">29.684 objava i 186 pouzdano</w:t>
      </w:r>
      <w:r>
        <w:t xml:space="preserve"> </w:t>
      </w:r>
      <w:r>
        <w:t xml:space="preserve">klasificiranih oznaka izvora, od čega 67 kreatorskih</w:t>
      </w:r>
      <w:r>
        <w:t xml:space="preserve"> </w:t>
      </w:r>
      <w:r>
        <w:t xml:space="preserve">i 119 institucionalnih. Zabilježena pažnja unutar</w:t>
      </w:r>
      <w:r>
        <w:t xml:space="preserve"> </w:t>
      </w:r>
      <w:r>
        <w:t xml:space="preserve">kreatorskoga sloja izrazito je koncentrirana, s Gini koeficijentom</w:t>
      </w:r>
      <w:r>
        <w:t xml:space="preserve"> </w:t>
      </w:r>
      <w:r>
        <w:t xml:space="preserve">0,913 i udjelom deset vodećih oznaka od 92,5 %. Među</w:t>
      </w:r>
      <w:r>
        <w:t xml:space="preserve"> </w:t>
      </w:r>
      <w:r>
        <w:t xml:space="preserve">izvorima s najmanje pet objava medijan interakcija po objavi iznosi</w:t>
      </w:r>
      <w:r>
        <w:t xml:space="preserve"> </w:t>
      </w:r>
      <w:r>
        <w:t xml:space="preserve">158,0 za kreatorske i</w:t>
      </w:r>
      <w:r>
        <w:t xml:space="preserve"> </w:t>
      </w:r>
      <w:r>
        <w:t xml:space="preserve">14,4 za institucionalne izvore. Razlika ostaje velika i</w:t>
      </w:r>
      <w:r>
        <w:t xml:space="preserve"> </w:t>
      </w:r>
      <w:r>
        <w:t xml:space="preserve">statistički razlučiva u usporedbi ograničenoj na YouTube i prilagođenoj za broj objava i vrijeme</w:t>
      </w:r>
      <w:r>
        <w:t xml:space="preserve"> </w:t>
      </w:r>
      <w:r>
        <w:t xml:space="preserve">prikupljanja, gdje procijenjeni omjer iznosi 4,26.</w:t>
      </w:r>
      <w:r>
        <w:t xml:space="preserve"> </w:t>
      </w:r>
      <w:r>
        <w:t xml:space="preserve">Platformski se profili dviju skupina snažno razlikuju, dok tematski profili dijele zajedničku jezgru</w:t>
      </w:r>
      <w:r>
        <w:t xml:space="preserve"> </w:t>
      </w:r>
      <w:r>
        <w:t xml:space="preserve">i razlikuju se ponajprije u naglascima, s jačim devocijskim naglaskom kreatora i jačim</w:t>
      </w:r>
      <w:r>
        <w:t xml:space="preserve"> </w:t>
      </w:r>
      <w:r>
        <w:t xml:space="preserve">institucionalnim naglaskom crkvenih ustanova. Rezultati podupiru precizno ograničen institucionalni</w:t>
      </w:r>
      <w:r>
        <w:t xml:space="preserve"> </w:t>
      </w:r>
      <w:r>
        <w:t xml:space="preserve">deficit zabilježenih interakcija, ali ne dokazuju opću komunikacijsku nadmoć kreatora niti uzročni</w:t>
      </w:r>
      <w:r>
        <w:t xml:space="preserve"> </w:t>
      </w:r>
      <w:r>
        <w:t xml:space="preserve">učinak njihova stila.</w:t>
      </w:r>
    </w:p>
    <w:p>
      <w:pPr>
        <w:pStyle w:val="BodyText"/>
      </w:pPr>
      <w:r>
        <w:rPr>
          <w:b/>
          <w:bCs/>
        </w:rPr>
        <w:t xml:space="preserve">Ključne riječi.</w:t>
      </w:r>
      <w:r>
        <w:t xml:space="preserve"> </w:t>
      </w:r>
      <w:r>
        <w:t xml:space="preserve">Ekonomija pažnje, religijski kreatori, digitalni mediji, Katolička crkva,</w:t>
      </w:r>
      <w:r>
        <w:t xml:space="preserve"> </w:t>
      </w:r>
      <w:r>
        <w:t xml:space="preserve">Hrvatska, platformska komunikacija</w:t>
      </w:r>
    </w:p>
    <w:bookmarkEnd w:id="9"/>
    <w:bookmarkStart w:id="10" w:name="abstract"/>
    <w:p>
      <w:pPr>
        <w:pStyle w:val="Heading1"/>
      </w:pPr>
      <w:r>
        <w:t xml:space="preserve">Abstract</w:t>
      </w:r>
    </w:p>
    <w:p>
      <w:pPr>
        <w:pStyle w:val="FirstParagraph"/>
      </w:pPr>
      <w:r>
        <w:t xml:space="preserve">Institutional authority does not guarantee digital attention, yet comparisons between Church</w:t>
      </w:r>
      <w:r>
        <w:t xml:space="preserve"> </w:t>
      </w:r>
      <w:r>
        <w:t xml:space="preserve">institutions and religious creators easily mistake a difference between actors for a difference</w:t>
      </w:r>
      <w:r>
        <w:t xml:space="preserve"> </w:t>
      </w:r>
      <w:r>
        <w:t xml:space="preserve">between platforms. This study analyses 413,985 posts collected in the</w:t>
      </w:r>
      <w:r>
        <w:t xml:space="preserve"> </w:t>
      </w:r>
      <w:r>
        <w:t xml:space="preserve">Croatian digital media space between 1 January 2021 and 11 June 2026. The primary analytical set</w:t>
      </w:r>
      <w:r>
        <w:t xml:space="preserve"> </w:t>
      </w:r>
      <w:r>
        <w:t xml:space="preserve">covers 29,684 posts and</w:t>
      </w:r>
      <w:r>
        <w:t xml:space="preserve"> </w:t>
      </w:r>
      <w:r>
        <w:t xml:space="preserve">186 high-confidence source labels,</w:t>
      </w:r>
      <w:r>
        <w:t xml:space="preserve"> </w:t>
      </w:r>
      <w:r>
        <w:t xml:space="preserve">67 of them creator sources and</w:t>
      </w:r>
      <w:r>
        <w:t xml:space="preserve"> </w:t>
      </w:r>
      <w:r>
        <w:t xml:space="preserve">119 institutional ones. Recorded attention within</w:t>
      </w:r>
      <w:r>
        <w:t xml:space="preserve"> </w:t>
      </w:r>
      <w:r>
        <w:t xml:space="preserve">the creator layer is highly concentrated, with a Gini coefficient of</w:t>
      </w:r>
      <w:r>
        <w:t xml:space="preserve"> </w:t>
      </w:r>
      <w:r>
        <w:t xml:space="preserve">0.913 and a top-ten share of</w:t>
      </w:r>
      <w:r>
        <w:t xml:space="preserve"> </w:t>
      </w:r>
      <w:r>
        <w:t xml:space="preserve">92.5%. Among sources with at least five posts, the median</w:t>
      </w:r>
      <w:r>
        <w:t xml:space="preserve"> </w:t>
      </w:r>
      <w:r>
        <w:t xml:space="preserve">number of interactions per post is 158.0 for creator sources and</w:t>
      </w:r>
      <w:r>
        <w:t xml:space="preserve"> </w:t>
      </w:r>
      <w:r>
        <w:t xml:space="preserve">14.4 for institutional ones. The difference remains large</w:t>
      </w:r>
      <w:r>
        <w:t xml:space="preserve"> </w:t>
      </w:r>
      <w:r>
        <w:t xml:space="preserve">and statistically distinguishable in a within-YouTube comparison adjusted for posting activity and</w:t>
      </w:r>
      <w:r>
        <w:t xml:space="preserve"> </w:t>
      </w:r>
      <w:r>
        <w:t xml:space="preserve">collection timing, where the estimated ratio is 4.26.</w:t>
      </w:r>
      <w:r>
        <w:t xml:space="preserve"> </w:t>
      </w:r>
      <w:r>
        <w:t xml:space="preserve">Platform profiles differ sharply, while thematic profiles share a common core and differ mainly in</w:t>
      </w:r>
      <w:r>
        <w:t xml:space="preserve"> </w:t>
      </w:r>
      <w:r>
        <w:t xml:space="preserve">emphasis, with a stronger devotional accent among creators and a stronger institutional accent among</w:t>
      </w:r>
      <w:r>
        <w:t xml:space="preserve"> </w:t>
      </w:r>
      <w:r>
        <w:t xml:space="preserve">Church bodies. The findings support a narrowly bounded institutional deficit in recorded interaction</w:t>
      </w:r>
      <w:r>
        <w:t xml:space="preserve"> </w:t>
      </w:r>
      <w:r>
        <w:t xml:space="preserve">rather than a general communicative superiority of creators or a causal effect of their style.</w:t>
      </w:r>
    </w:p>
    <w:p>
      <w:pPr>
        <w:pStyle w:val="BodyText"/>
      </w:pPr>
      <w:r>
        <w:rPr>
          <w:b/>
          <w:bCs/>
        </w:rPr>
        <w:t xml:space="preserve">Keywords.</w:t>
      </w:r>
      <w:r>
        <w:t xml:space="preserve"> </w:t>
      </w:r>
      <w:r>
        <w:t xml:space="preserve">Attention economy, religious creators, digital media, Catholic Church, Croatia,</w:t>
      </w:r>
      <w:r>
        <w:t xml:space="preserve"> </w:t>
      </w:r>
      <w:r>
        <w:t xml:space="preserve">platform communication</w:t>
      </w:r>
    </w:p>
    <w:bookmarkEnd w:id="10"/>
    <w:bookmarkStart w:id="11" w:name="uvod"/>
    <w:p>
      <w:pPr>
        <w:pStyle w:val="Heading1"/>
      </w:pPr>
      <w:r>
        <w:t xml:space="preserve">1. Uvod</w:t>
      </w:r>
    </w:p>
    <w:p>
      <w:pPr>
        <w:pStyle w:val="FirstParagraph"/>
      </w:pPr>
      <w:r>
        <w:t xml:space="preserve">Digitalne platforme dovode službene crkvene kanale, redovničke i laičke zajednice te pojedinačne</w:t>
      </w:r>
      <w:r>
        <w:t xml:space="preserve"> </w:t>
      </w:r>
      <w:r>
        <w:t xml:space="preserve">kreatore u isti prostor vidljivosti, ali ih ne dovode u jednake uvjete. Institucionalni izvori</w:t>
      </w:r>
      <w:r>
        <w:t xml:space="preserve"> </w:t>
      </w:r>
      <w:r>
        <w:t xml:space="preserve">objavljuju priopćenja, arhivske zapise, liturgijske obavijesti i servisne informacije, a kreatorski</w:t>
      </w:r>
      <w:r>
        <w:t xml:space="preserve"> </w:t>
      </w:r>
      <w:r>
        <w:t xml:space="preserve">izvori češće djeluju kroz osobni glas, video format i izravno obraćanje publici. Uz to, dvije skupine</w:t>
      </w:r>
      <w:r>
        <w:t xml:space="preserve"> </w:t>
      </w:r>
      <w:r>
        <w:t xml:space="preserve">nisu jednako raspoređene po platformama, a platforme ne bilježe reakciju publike na isti način.</w:t>
      </w:r>
      <w:r>
        <w:t xml:space="preserve"> </w:t>
      </w:r>
      <w:r>
        <w:t xml:space="preserve">Zabilježena razlika u interakcijama zato može odražavati privlačnost sadržaja, platformsku</w:t>
      </w:r>
      <w:r>
        <w:t xml:space="preserve"> </w:t>
      </w:r>
      <w:r>
        <w:t xml:space="preserve">infrastrukturu, različite komunikacijske ciljeve ili sam način mjerenja. Empirijski izazov nije samo</w:t>
      </w:r>
      <w:r>
        <w:t xml:space="preserve"> </w:t>
      </w:r>
      <w:r>
        <w:t xml:space="preserve">utvrditi postoji li razlika, nego pokazati na kojoj se razini pojavljuje i gdje prestaje biti</w:t>
      </w:r>
      <w:r>
        <w:t xml:space="preserve"> </w:t>
      </w:r>
      <w:r>
        <w:t xml:space="preserve">usporediva.</w:t>
      </w:r>
    </w:p>
    <w:p>
      <w:pPr>
        <w:pStyle w:val="BodyText"/>
      </w:pPr>
      <w:r>
        <w:t xml:space="preserve">Rasprava o odnosu crkvenih institucija i religijskih kreatora u javnosti se najčešće vodi na temelju</w:t>
      </w:r>
      <w:r>
        <w:t xml:space="preserve"> </w:t>
      </w:r>
      <w:r>
        <w:t xml:space="preserve">pojedinačnih primjera vrlo uspješnih kanala. Takvi primjeri pokazuju da je kreatorska vidljivost</w:t>
      </w:r>
      <w:r>
        <w:t xml:space="preserve"> </w:t>
      </w:r>
      <w:r>
        <w:t xml:space="preserve">moguća, ali ne govore koliko je česta, koliko je ravnomjerno raspoređena među kreatorima i vrijedi li</w:t>
      </w:r>
      <w:r>
        <w:t xml:space="preserve"> </w:t>
      </w:r>
      <w:r>
        <w:t xml:space="preserve">usporedba kada se dvije skupine promatraju na istoj platformi. Sustavno mjerenje na razini cijeloga</w:t>
      </w:r>
      <w:r>
        <w:t xml:space="preserve"> </w:t>
      </w:r>
      <w:r>
        <w:t xml:space="preserve">medijskog prostora rijetko je, osobito za male jezike i nacionalne religijske scene, pa se opća ocjena</w:t>
      </w:r>
      <w:r>
        <w:t xml:space="preserve"> </w:t>
      </w:r>
      <w:r>
        <w:t xml:space="preserve">o zaostajanju crkvene komunikacije oslanja na dojam prije nego na raspodjelu.</w:t>
      </w:r>
    </w:p>
    <w:p>
      <w:pPr>
        <w:pStyle w:val="BodyText"/>
      </w:pPr>
      <w:r>
        <w:t xml:space="preserve">Ovaj rad tu prazninu popunjava opsežnim opservacijskim mjerenjem. Analizira se korpus objava iz</w:t>
      </w:r>
      <w:r>
        <w:t xml:space="preserve"> </w:t>
      </w:r>
      <w:r>
        <w:t xml:space="preserve">hrvatskoga digitalnog medijskog prostora u razdoblju od 2021. do sredine 2026. godine, unutar kojega</w:t>
      </w:r>
      <w:r>
        <w:t xml:space="preserve"> </w:t>
      </w:r>
      <w:r>
        <w:t xml:space="preserve">se identificiraju i uspoređuju dvije skupine religijskih aktera. Doprinos rada trostruk je. Prvo,</w:t>
      </w:r>
      <w:r>
        <w:t xml:space="preserve"> </w:t>
      </w:r>
      <w:r>
        <w:t xml:space="preserve">umjesto pojedinačnih primjera daje se raspodjela zabilježene pažnje unutar cijeloga kreatorskog sloja.</w:t>
      </w:r>
      <w:r>
        <w:t xml:space="preserve"> </w:t>
      </w:r>
      <w:r>
        <w:t xml:space="preserve">Drugo, glavna se usporedba dviju skupina ponavlja unutar jedne platforme, čime se uklanja</w:t>
      </w:r>
      <w:r>
        <w:t xml:space="preserve"> </w:t>
      </w:r>
      <w:r>
        <w:t xml:space="preserve">najjednostavnije alternativno objašnjenje razlike. Treće, tvrdnje o platformskim profilima, tematskim</w:t>
      </w:r>
      <w:r>
        <w:t xml:space="preserve"> </w:t>
      </w:r>
      <w:r>
        <w:t xml:space="preserve">naglascima i unutarnjoj strukturi kreatorskoga sloja odvajaju se od glavnoga nalaza i ograničavaju na</w:t>
      </w:r>
      <w:r>
        <w:t xml:space="preserve"> </w:t>
      </w:r>
      <w:r>
        <w:t xml:space="preserve">ono što struktura podataka doista može procijeniti.</w:t>
      </w:r>
    </w:p>
    <w:p>
      <w:pPr>
        <w:pStyle w:val="BodyText"/>
      </w:pPr>
      <w:r>
        <w:t xml:space="preserve">Naziv</w:t>
      </w:r>
      <w:r>
        <w:t xml:space="preserve"> </w:t>
      </w:r>
      <w:r>
        <w:rPr>
          <w:i/>
          <w:iCs/>
        </w:rPr>
        <w:t xml:space="preserve">katolički influencer</w:t>
      </w:r>
      <w:r>
        <w:t xml:space="preserve"> </w:t>
      </w:r>
      <w:r>
        <w:t xml:space="preserve">u ovom radu označava analitičku skupinu, a ne zanimanje, samoodređenje</w:t>
      </w:r>
      <w:r>
        <w:t xml:space="preserve"> </w:t>
      </w:r>
      <w:r>
        <w:t xml:space="preserve">ili prag broja pratitelja. Skupina uključuje pouzdano prepoznate laičke religijske kanale, pojedinačne</w:t>
      </w:r>
      <w:r>
        <w:t xml:space="preserve"> </w:t>
      </w:r>
      <w:r>
        <w:t xml:space="preserve">svećenike i karizmatske zajednice. Zbog te se širine u analitičkom tekstu koristi precizniji izraz</w:t>
      </w:r>
      <w:r>
        <w:t xml:space="preserve"> </w:t>
      </w:r>
      <w:r>
        <w:t xml:space="preserve">kreatorski izvori. Institucionalna skupina uključuje službene crkvene komunikatore, biskupijske i</w:t>
      </w:r>
      <w:r>
        <w:t xml:space="preserve"> </w:t>
      </w:r>
      <w:r>
        <w:t xml:space="preserve">župne izvore te katoličke akademske ustanove. Nezavisni katolički mediji, redovničke zajednice,</w:t>
      </w:r>
      <w:r>
        <w:t xml:space="preserve"> </w:t>
      </w:r>
      <w:r>
        <w:t xml:space="preserve">organizacije mladih, svjetovni mediji i nejasno klasificirani izvori nisu dio primarne usporedbe.</w:t>
      </w:r>
    </w:p>
    <w:p>
      <w:pPr>
        <w:pStyle w:val="BodyText"/>
      </w:pPr>
      <w:r>
        <w:t xml:space="preserve">Rad postavlja pet istraživačkih pitanja.</w:t>
      </w:r>
    </w:p>
    <w:p>
      <w:pPr>
        <w:pStyle w:val="Compact"/>
        <w:numPr>
          <w:ilvl w:val="0"/>
          <w:numId w:val="1001"/>
        </w:numPr>
      </w:pPr>
      <w:r>
        <w:t xml:space="preserve">Koliko su zabilježene interakcije nejednako raspodijeljene među kreatorskim izvorima (P1)?</w:t>
      </w:r>
    </w:p>
    <w:p>
      <w:pPr>
        <w:pStyle w:val="Compact"/>
        <w:numPr>
          <w:ilvl w:val="0"/>
          <w:numId w:val="1001"/>
        </w:numPr>
      </w:pPr>
      <w:r>
        <w:t xml:space="preserve">Imaju li kreatorski izvori više interakcija po objavi od institucionalnih izvora i ostaje li</w:t>
      </w:r>
      <w:r>
        <w:t xml:space="preserve"> </w:t>
      </w:r>
      <w:r>
        <w:t xml:space="preserve">razlika unutar zajedničke platforme (P2)?</w:t>
      </w:r>
    </w:p>
    <w:p>
      <w:pPr>
        <w:pStyle w:val="Compact"/>
        <w:numPr>
          <w:ilvl w:val="0"/>
          <w:numId w:val="1001"/>
        </w:numPr>
      </w:pPr>
      <w:r>
        <w:t xml:space="preserve">Razlikuje li se raspodjela objava kreatorskih i institucionalnih izvora među platformama (P3)?</w:t>
      </w:r>
    </w:p>
    <w:p>
      <w:pPr>
        <w:pStyle w:val="Compact"/>
        <w:numPr>
          <w:ilvl w:val="0"/>
          <w:numId w:val="1001"/>
        </w:numPr>
      </w:pPr>
      <w:r>
        <w:t xml:space="preserve">Razlikuju li se skupine po relativnoj zastupljenosti šest unaprijed određenih tematskih obitelji</w:t>
      </w:r>
      <w:r>
        <w:t xml:space="preserve"> </w:t>
      </w:r>
      <w:r>
        <w:t xml:space="preserve">(P4)?</w:t>
      </w:r>
    </w:p>
    <w:p>
      <w:pPr>
        <w:pStyle w:val="Compact"/>
        <w:numPr>
          <w:ilvl w:val="0"/>
          <w:numId w:val="1001"/>
        </w:numPr>
      </w:pPr>
      <w:r>
        <w:t xml:space="preserve">Jesu li učestalost objavljivanja i vrsta kreatorskoga izvora povezane s interakcijama po objavi te</w:t>
      </w:r>
      <w:r>
        <w:t xml:space="preserve"> </w:t>
      </w:r>
      <w:r>
        <w:t xml:space="preserve">može li se procijeniti samostalan učinak primarne platforme (P5)?</w:t>
      </w:r>
    </w:p>
    <w:bookmarkEnd w:id="11"/>
    <w:bookmarkStart w:id="12" w:name="teorijski-okvir"/>
    <w:p>
      <w:pPr>
        <w:pStyle w:val="Heading1"/>
      </w:pPr>
      <w:r>
        <w:t xml:space="preserve">2. Teorijski okvir</w:t>
      </w:r>
    </w:p>
    <w:p>
      <w:pPr>
        <w:pStyle w:val="FirstParagraph"/>
      </w:pPr>
      <w:r>
        <w:t xml:space="preserve">Okvir rada namjerno je sažet i oslanja se na tri općeprihvaćene ideje koje su dovoljne da se izvedu</w:t>
      </w:r>
      <w:r>
        <w:t xml:space="preserve"> </w:t>
      </w:r>
      <w:r>
        <w:t xml:space="preserve">očekivanja provjerena u analizi. Detaljnija razrada svake od njih ostaje otvorena za daljnji rad.</w:t>
      </w:r>
    </w:p>
    <w:p>
      <w:pPr>
        <w:pStyle w:val="BodyText"/>
      </w:pPr>
      <w:r>
        <w:t xml:space="preserve">Prva je ideja ekonomija pažnje. U okruženju u kojem je informacija obilna, oskudan je resurs pažnja</w:t>
      </w:r>
      <w:r>
        <w:t xml:space="preserve"> </w:t>
      </w:r>
      <w:r>
        <w:t xml:space="preserve">publike, pa se komunikacijski uspjeh mjeri sposobnošću privlačenja te oskudice (Simon, 1971;</w:t>
      </w:r>
      <w:r>
        <w:t xml:space="preserve"> </w:t>
      </w:r>
      <w:r>
        <w:t xml:space="preserve">Goldhaber, 1997; Davenport i Beck, 2001). Kada je pažnja oskudna i kumulativna, njezina raspodjela</w:t>
      </w:r>
      <w:r>
        <w:t xml:space="preserve"> </w:t>
      </w:r>
      <w:r>
        <w:t xml:space="preserve">među izvorima ne teži prosjeku nego koncentraciji, jer vidljivost povećava vjerojatnost daljnje</w:t>
      </w:r>
      <w:r>
        <w:t xml:space="preserve"> </w:t>
      </w:r>
      <w:r>
        <w:t xml:space="preserve">vidljivosti (Webster, 2014). Iz toga slijedi očekivanje da kreatorski sloj neće biti homogena skupina</w:t>
      </w:r>
      <w:r>
        <w:t xml:space="preserve"> </w:t>
      </w:r>
      <w:r>
        <w:t xml:space="preserve">uspješnih kanala, nego skupina s malim brojem vrlo vidljivih izvora i dugim repom slabo vidljivih.</w:t>
      </w:r>
    </w:p>
    <w:p>
      <w:pPr>
        <w:pStyle w:val="BodyText"/>
      </w:pPr>
      <w:r>
        <w:t xml:space="preserve">Druga je ideja platformsko posredovanje. Platforme nisu neutralni prijenosnici sadržaja, nego</w:t>
      </w:r>
      <w:r>
        <w:t xml:space="preserve"> </w:t>
      </w:r>
      <w:r>
        <w:t xml:space="preserve">infrastrukture s vlastitom logikom vrednovanja, preporuke i mjerenja (van Dijck, Poell i de Waal,</w:t>
      </w:r>
      <w:r>
        <w:t xml:space="preserve"> </w:t>
      </w:r>
      <w:r>
        <w:t xml:space="preserve">2018; Gillespie, 2018; Bucher, 2018). Ta logika nagrađuje osobni glas, prepoznatljivost i redovitu</w:t>
      </w:r>
      <w:r>
        <w:t xml:space="preserve"> </w:t>
      </w:r>
      <w:r>
        <w:t xml:space="preserve">prisutnost, što su obilježja kreatorske komunikacije (Marwick, 2013; Abidin, 2018), dok se</w:t>
      </w:r>
      <w:r>
        <w:t xml:space="preserve"> </w:t>
      </w:r>
      <w:r>
        <w:t xml:space="preserve">institucionalna komunikacija često oblikuje prema zahtjevima točnosti, službenosti i arhivske</w:t>
      </w:r>
      <w:r>
        <w:t xml:space="preserve"> </w:t>
      </w:r>
      <w:r>
        <w:t xml:space="preserve">trajnosti. Iz toga slijede dva očekivanja. Kreatorski izvori trebali bi bilježiti više reakcija po</w:t>
      </w:r>
      <w:r>
        <w:t xml:space="preserve"> </w:t>
      </w:r>
      <w:r>
        <w:t xml:space="preserve">objavi, ali i biti nejednako raspoređeni po platformama, pa razlika u pažnji može biti posljedica</w:t>
      </w:r>
      <w:r>
        <w:t xml:space="preserve"> </w:t>
      </w:r>
      <w:r>
        <w:t xml:space="preserve">platformskoga profila jednako kao i obilježja samih aktera. Zato usporedba unutar iste platforme nije</w:t>
      </w:r>
      <w:r>
        <w:t xml:space="preserve"> </w:t>
      </w:r>
      <w:r>
        <w:t xml:space="preserve">tehnička dodatna provjera, nego uvjet smislenosti nalaza.</w:t>
      </w:r>
    </w:p>
    <w:p>
      <w:pPr>
        <w:pStyle w:val="BodyText"/>
      </w:pPr>
      <w:r>
        <w:t xml:space="preserve">Treća je ideja promjena religijskoga autoriteta u digitalnom okruženju. Istraživanja digitalne</w:t>
      </w:r>
      <w:r>
        <w:t xml:space="preserve"> </w:t>
      </w:r>
      <w:r>
        <w:t xml:space="preserve">religije pokazuju da mrežni prostor ne ukida institucionalni autoritet, ali ga izlaže usporedbi s</w:t>
      </w:r>
      <w:r>
        <w:t xml:space="preserve"> </w:t>
      </w:r>
      <w:r>
        <w:t xml:space="preserve">glasovima koji svoju vjerodostojnost grade na osobnom svjedočenju i dostupnosti (Campbell, 2007;</w:t>
      </w:r>
      <w:r>
        <w:t xml:space="preserve"> </w:t>
      </w:r>
      <w:r>
        <w:t xml:space="preserve">Hjarvard, 2008; Campbell, 2013; Cheong, 2014). Ako je tako, dvije bi se skupine trebale razlikovati</w:t>
      </w:r>
      <w:r>
        <w:t xml:space="preserve"> </w:t>
      </w:r>
      <w:r>
        <w:t xml:space="preserve">više po naglasku nego po odvojenim tematskim svjetovima, pri čemu bi kreatorski izvori bili bliži</w:t>
      </w:r>
      <w:r>
        <w:t xml:space="preserve"> </w:t>
      </w:r>
      <w:r>
        <w:t xml:space="preserve">devocijskom i osobnom registru, a institucionalni izvori sadržaju vezanom uz ustroj, dokumente i</w:t>
      </w:r>
      <w:r>
        <w:t xml:space="preserve"> </w:t>
      </w:r>
      <w:r>
        <w:t xml:space="preserve">službena događanja.</w:t>
      </w:r>
    </w:p>
    <w:p>
      <w:pPr>
        <w:pStyle w:val="BodyText"/>
      </w:pPr>
      <w:r>
        <w:t xml:space="preserve">Ta tri očekivanja usmjeravaju analizu, ali ne određuju njezin doseg. Mjera koja se ovdje koristi</w:t>
      </w:r>
      <w:r>
        <w:t xml:space="preserve"> </w:t>
      </w:r>
      <w:r>
        <w:t xml:space="preserve">bilježi reakciju na objavu, a ne doseg, povjerenje ni ostvarenje pastoralne svrhe, pa se očekivanja</w:t>
      </w:r>
      <w:r>
        <w:t xml:space="preserve"> </w:t>
      </w:r>
      <w:r>
        <w:t xml:space="preserve">provjeravaju u granicama onoga što takva mjera može pokazati.</w:t>
      </w:r>
    </w:p>
    <w:bookmarkEnd w:id="12"/>
    <w:bookmarkStart w:id="19" w:name="podaci-i-metode"/>
    <w:p>
      <w:pPr>
        <w:pStyle w:val="Heading1"/>
      </w:pPr>
      <w:r>
        <w:t xml:space="preserve">3. Podaci i metode</w:t>
      </w:r>
    </w:p>
    <w:bookmarkStart w:id="14" w:name="dizajn-i-ulazni-korpus"/>
    <w:p>
      <w:pPr>
        <w:pStyle w:val="Heading2"/>
      </w:pPr>
      <w:r>
        <w:t xml:space="preserve">3.1 Dizajn i ulazni korpus</w:t>
      </w:r>
    </w:p>
    <w:p>
      <w:pPr>
        <w:pStyle w:val="FirstParagraph"/>
      </w:pPr>
      <w:r>
        <w:t xml:space="preserve">Studija je opservacijska analiza digitalnih objava. Ulazni je korpus izgrađen jedinstvenim pravilom</w:t>
      </w:r>
      <w:r>
        <w:t xml:space="preserve"> </w:t>
      </w:r>
      <w:r>
        <w:t xml:space="preserve">uključivanja primijenjenim identično na cijelo razdoblje, čime se izbjegava da promjena kriterija</w:t>
      </w:r>
      <w:r>
        <w:t xml:space="preserve"> </w:t>
      </w:r>
      <w:r>
        <w:t xml:space="preserve">uključivanja sama proizvede razliku među razdobljima. Korpus obuhvaća</w:t>
      </w:r>
      <w:r>
        <w:t xml:space="preserve"> </w:t>
      </w:r>
      <w:r>
        <w:t xml:space="preserve">413.985 objava od 1. siječnja 2021. do 11. lipnja 2026. i pokriva web,</w:t>
      </w:r>
      <w:r>
        <w:t xml:space="preserve"> </w:t>
      </w:r>
      <w:r>
        <w:t xml:space="preserve">YouTube, Facebook, Instagram, Twitter/X, forume i komentarske prostore.</w:t>
      </w:r>
    </w:p>
    <w:p>
      <w:pPr>
        <w:pStyle w:val="BodyText"/>
      </w:pPr>
      <w:r>
        <w:t xml:space="preserve">Promjena instrumenta prikupljanja tijekom 2024. ograničava izravne usporedbe volumena između</w:t>
      </w:r>
      <w:r>
        <w:t xml:space="preserve"> </w:t>
      </w:r>
      <w:r>
        <w:t xml:space="preserve">razdoblja, a 2026. je nepotpuna godina. Analiza zato ne tumači vremensku promjenu količine objava.</w:t>
      </w:r>
      <w:r>
        <w:t xml:space="preserve"> </w:t>
      </w:r>
      <w:r>
        <w:t xml:space="preserve">Sve procjene odnose se na razdoblje u cjelini, a ondje gdje bi razlika u starosti objava mogla</w:t>
      </w:r>
      <w:r>
        <w:t xml:space="preserve"> </w:t>
      </w:r>
      <w:r>
        <w:t xml:space="preserve">utjecati na broj zabilježenih interakcija, prosječno vrijeme prikupljanja uključeno je u model.</w:t>
      </w:r>
    </w:p>
    <w:p>
      <w:pPr>
        <w:pStyle w:val="BodyText"/>
      </w:pPr>
      <w:r>
        <w:t xml:space="preserve">Tok od cjelovitoga korpusa do primarnoga analitičkog skupa prikazan je u</w:t>
      </w:r>
      <w:r>
        <w:t xml:space="preserve"> </w:t>
      </w:r>
      <w:hyperlink w:anchor="tbl-sample-flow">
        <w:r>
          <w:rPr>
            <w:rStyle w:val="Hyperlink"/>
          </w:rPr>
          <w:t xml:space="preserve">Table 1</w:t>
        </w:r>
      </w:hyperlink>
      <w:r>
        <w:t xml:space="preserve">. TikTok je</w:t>
      </w:r>
      <w:r>
        <w:t xml:space="preserve"> </w:t>
      </w:r>
      <w:r>
        <w:t xml:space="preserve">isključen iz studijskoga obuhvata jer klasifikator aktera nije definiran za tu platformu. Isključenje</w:t>
      </w:r>
      <w:r>
        <w:t xml:space="preserve"> </w:t>
      </w:r>
      <w:r>
        <w:t xml:space="preserve">obuhvaća 197 objava, odnosno manje od jednoga promila korpusa.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3" w:name="tbl-sample-flow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Tok konstrukcije analitičkoga skupa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5565"/>
              <w:gridCol w:w="856"/>
              <w:gridCol w:w="1498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Korak analize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Objave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Oznake izvora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Službeni DigiKat korpus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413.985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10.777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Studijski obuhvat nakon isključenja TikToka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413.788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10.700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Svi klasificirani izvori, široki skup osjetljivosti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43.759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352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Primarni skup visoke pouzdanosti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29.684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Primarni skup s opaženim interakcijama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29.412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185</w:t>
                  </w:r>
                </w:p>
              </w:tc>
            </w:tr>
          </w:tbl>
          <w:bookmarkEnd w:id="13"/>
          <w:p/>
        </w:tc>
      </w:tr>
    </w:tbl>
    <w:bookmarkEnd w:id="14"/>
    <w:bookmarkStart w:id="15" w:name="klasifikacija-aktera-i-jedinica-analize"/>
    <w:p>
      <w:pPr>
        <w:pStyle w:val="Heading2"/>
      </w:pPr>
      <w:r>
        <w:t xml:space="preserve">3.2 Klasifikacija aktera i jedinica analize</w:t>
      </w:r>
    </w:p>
    <w:p>
      <w:pPr>
        <w:pStyle w:val="FirstParagraph"/>
      </w:pPr>
      <w:r>
        <w:t xml:space="preserve">Akteri se prepoznaju na razini oznake izvora, koja može predstavljati domenu, kanal, stranicu ili</w:t>
      </w:r>
      <w:r>
        <w:t xml:space="preserve"> </w:t>
      </w:r>
      <w:r>
        <w:t xml:space="preserve">drugi naziv pod kojim se sadržaj objavljuje. Klasifikacija se provodi u tri koraka. Najprije se</w:t>
      </w:r>
      <w:r>
        <w:t xml:space="preserve"> </w:t>
      </w:r>
      <w:r>
        <w:t xml:space="preserve">primjenjuje unaprijed sastavljen popis poznatih naziva i kratica hrvatskih katoličkih aktera. Zatim se</w:t>
      </w:r>
      <w:r>
        <w:t xml:space="preserve"> </w:t>
      </w:r>
      <w:r>
        <w:t xml:space="preserve">prepoznaju jednoznačni biskupijski, župni i svećenički obrasci u nazivu. Naposljetku se izdvajaju</w:t>
      </w:r>
      <w:r>
        <w:t xml:space="preserve"> </w:t>
      </w:r>
      <w:r>
        <w:t xml:space="preserve">svjetovni i nereligijski izvori, koji ostaju izvan usporedbe.</w:t>
      </w:r>
    </w:p>
    <w:p>
      <w:pPr>
        <w:pStyle w:val="BodyText"/>
      </w:pPr>
      <w:r>
        <w:t xml:space="preserve">Primarni analitički skup zadržava samo oznake visoke pouzdanosti, dobivene ručnim popisom ili</w:t>
      </w:r>
      <w:r>
        <w:t xml:space="preserve"> </w:t>
      </w:r>
      <w:r>
        <w:t xml:space="preserve">jednoznačnim institucionalnim obrascem. Širi skup dodatno uključuje nazive prepoznate devocijskim ili</w:t>
      </w:r>
      <w:r>
        <w:t xml:space="preserve"> </w:t>
      </w:r>
      <w:r>
        <w:t xml:space="preserve">zajedničkim jezičnim obrascem. Taj širi sloj povećava obuhvat, ali ne može pouzdano utvrditi katolički</w:t>
      </w:r>
      <w:r>
        <w:t xml:space="preserve"> </w:t>
      </w:r>
      <w:r>
        <w:t xml:space="preserve">identitet svakoga izvora, pa se koristi isključivo kao provjera osjetljivosti. Razlika između dvaju</w:t>
      </w:r>
      <w:r>
        <w:t xml:space="preserve"> </w:t>
      </w:r>
      <w:r>
        <w:t xml:space="preserve">skupova nije tehnička sitnica. Prijelaz s širega na primarni skup uklanja najveći dio nazivno</w:t>
      </w:r>
      <w:r>
        <w:t xml:space="preserve"> </w:t>
      </w:r>
      <w:r>
        <w:t xml:space="preserve">prepoznatih, ali identitetski neprovjerenih devocijskih izvora, i pritom mijenja procjene, što je</w:t>
      </w:r>
      <w:r>
        <w:t xml:space="preserve"> </w:t>
      </w:r>
      <w:r>
        <w:t xml:space="preserve">prikazano u</w:t>
      </w:r>
      <w:r>
        <w:t xml:space="preserve"> </w:t>
      </w:r>
      <w:hyperlink w:anchor="tbl-robustness">
        <w:r>
          <w:rPr>
            <w:rStyle w:val="Hyperlink"/>
          </w:rPr>
          <w:t xml:space="preserve">Table 6</w:t>
        </w:r>
      </w:hyperlink>
      <w:r>
        <w:t xml:space="preserve">.</w:t>
      </w:r>
    </w:p>
    <w:p>
      <w:pPr>
        <w:pStyle w:val="BodyText"/>
      </w:pPr>
      <w:r>
        <w:t xml:space="preserve">Jedinica analize nije nužno jedinstvena pravna osoba ili pojedinac. Isti stvarni akter može imati više</w:t>
      </w:r>
      <w:r>
        <w:t xml:space="preserve"> </w:t>
      </w:r>
      <w:r>
        <w:t xml:space="preserve">oznaka, a jedna oznaka može objediniti više platformskih prisutnosti. Rezultati se zato dosljedno</w:t>
      </w:r>
      <w:r>
        <w:t xml:space="preserve"> </w:t>
      </w:r>
      <w:r>
        <w:t xml:space="preserve">odnose na oznake izvora, a ne na potpuno razriješene aktere. Popis naziva korišten je za autorsku</w:t>
      </w:r>
      <w:r>
        <w:t xml:space="preserve"> </w:t>
      </w:r>
      <w:r>
        <w:t xml:space="preserve">provjeru klasifikacije i ne ulazi u javne rezultate.</w:t>
      </w:r>
    </w:p>
    <w:bookmarkEnd w:id="15"/>
    <w:bookmarkStart w:id="16" w:name="mjera-pažnje"/>
    <w:p>
      <w:pPr>
        <w:pStyle w:val="Heading2"/>
      </w:pPr>
      <w:r>
        <w:t xml:space="preserve">3.3 Mjera pažnje</w:t>
      </w:r>
    </w:p>
    <w:p>
      <w:pPr>
        <w:pStyle w:val="FirstParagraph"/>
      </w:pPr>
      <w:r>
        <w:t xml:space="preserve">Pažnja se operacionalizira brojem zabilježenih interakcija u trenutku prikupljanja podataka.</w:t>
      </w:r>
      <w:r>
        <w:t xml:space="preserve"> </w:t>
      </w:r>
      <w:r>
        <w:t xml:space="preserve">Interakcije uključuju platformi svojstvene reakcije, komentare, dijeljenja i srodne signale.</w:t>
      </w:r>
      <w:r>
        <w:t xml:space="preserve"> </w:t>
      </w:r>
      <w:r>
        <w:t xml:space="preserve">Varijabla nije broj jedinstvenih korisnika, doseg, broj pratitelja ni stopa angažmana normalizirana</w:t>
      </w:r>
      <w:r>
        <w:t xml:space="preserve"> </w:t>
      </w:r>
      <w:r>
        <w:t xml:space="preserve">izloženošću. Njezino značenje i trenutak bilježenja nisu jednaki na svim platformama, a nulte</w:t>
      </w:r>
      <w:r>
        <w:t xml:space="preserve"> </w:t>
      </w:r>
      <w:r>
        <w:t xml:space="preserve">vrijednosti mogu označavati izostanak interakcija ili izostanak zabilježenoga signala. U primarnom</w:t>
      </w:r>
      <w:r>
        <w:t xml:space="preserve"> </w:t>
      </w:r>
      <w:r>
        <w:t xml:space="preserve">skupu vrijednost varijable zabilježena je za 99,1 %</w:t>
      </w:r>
      <w:r>
        <w:t xml:space="preserve"> </w:t>
      </w:r>
      <w:r>
        <w:t xml:space="preserve">objava, pa gubitak zbog nezabilježenih vrijednosti ne oblikuje rezultate.</w:t>
      </w:r>
    </w:p>
    <w:p>
      <w:pPr>
        <w:pStyle w:val="BodyText"/>
      </w:pPr>
      <w:r>
        <w:t xml:space="preserve">Ta ograničenja imaju izravnu metodološku posljedicu. Glavna se međugrupna usporedba ponavlja unutar</w:t>
      </w:r>
      <w:r>
        <w:t xml:space="preserve"> </w:t>
      </w:r>
      <w:r>
        <w:t xml:space="preserve">YouTubea, gdje se uspoređuje ista platformska vrsta zapisa i ista vrsta korisničke radnje. Za usporedbu</w:t>
      </w:r>
      <w:r>
        <w:t xml:space="preserve"> </w:t>
      </w:r>
      <w:r>
        <w:t xml:space="preserve">po izvoru računa se prosječan broj interakcija po objavi s opaženom vrijednošću, čime svaki izvor u</w:t>
      </w:r>
      <w:r>
        <w:t xml:space="preserve"> </w:t>
      </w:r>
      <w:r>
        <w:t xml:space="preserve">usporedbu ulazi jednom, neovisno o tome koliko je objavljivao. Izvori s manje od pet takvih objava</w:t>
      </w:r>
      <w:r>
        <w:t xml:space="preserve"> </w:t>
      </w:r>
      <w:r>
        <w:t xml:space="preserve">isključuju se iz glavne usporedbe i iz eksplorativnoga modela kako pojedinačna objava ne bi odredila</w:t>
      </w:r>
      <w:r>
        <w:t xml:space="preserve"> </w:t>
      </w:r>
      <w:r>
        <w:t xml:space="preserve">prosjek cijeloga izvora. Pragovi od jedne, deset i dvadeset objava koriste se u provjerama</w:t>
      </w:r>
      <w:r>
        <w:t xml:space="preserve"> </w:t>
      </w:r>
      <w:r>
        <w:t xml:space="preserve">osjetljivosti.</w:t>
      </w:r>
    </w:p>
    <w:bookmarkEnd w:id="16"/>
    <w:bookmarkStart w:id="17" w:name="tematsko-kodiranje"/>
    <w:p>
      <w:pPr>
        <w:pStyle w:val="Heading2"/>
      </w:pPr>
      <w:r>
        <w:t xml:space="preserve">3.4 Tematsko kodiranje</w:t>
      </w:r>
    </w:p>
    <w:p>
      <w:pPr>
        <w:pStyle w:val="FirstParagraph"/>
      </w:pPr>
      <w:r>
        <w:t xml:space="preserve">Tematski profil mjeri se višestrukim rječnikom šest obitelji, koje obuhvaćaju devocijsku, liturgijsku,</w:t>
      </w:r>
      <w:r>
        <w:t xml:space="preserve"> </w:t>
      </w:r>
      <w:r>
        <w:t xml:space="preserve">institucionalnu, socijalnu, političku i zajedničku tematiku. Jedna objava može dobiti više oznaka jer</w:t>
      </w:r>
      <w:r>
        <w:t xml:space="preserve"> </w:t>
      </w:r>
      <w:r>
        <w:t xml:space="preserve">se sadržaji redovito preklapaju, primjerice kada liturgijska obavijest ujedno poziva na zajedničko</w:t>
      </w:r>
      <w:r>
        <w:t xml:space="preserve"> </w:t>
      </w:r>
      <w:r>
        <w:t xml:space="preserve">okupljanje. Rječnik je opisni instrument koji mjeri prisutnost jezika pojedine obitelji, a ne nadzirani</w:t>
      </w:r>
      <w:r>
        <w:t xml:space="preserve"> </w:t>
      </w:r>
      <w:r>
        <w:t xml:space="preserve">klasifikator, model tema ni ocjena stava prema temi.</w:t>
      </w:r>
    </w:p>
    <w:bookmarkEnd w:id="17"/>
    <w:bookmarkStart w:id="18" w:name="analitički-postupci"/>
    <w:p>
      <w:pPr>
        <w:pStyle w:val="Heading2"/>
      </w:pPr>
      <w:r>
        <w:t xml:space="preserve">3.5 Analitički postupci</w:t>
      </w:r>
    </w:p>
    <w:p>
      <w:pPr>
        <w:pStyle w:val="FirstParagraph"/>
      </w:pPr>
      <w:r>
        <w:t xml:space="preserve">Za P1 se interakcije zbrajaju po kreatorskoj oznaci izvora, a raspodjela se opisuje Gini</w:t>
      </w:r>
      <w:r>
        <w:t xml:space="preserve"> </w:t>
      </w:r>
      <w:r>
        <w:t xml:space="preserve">koeficijentom, udjelom deset vodećih izvora i Lorenzovom krivuljom. Nesigurnost Gini koeficijenta</w:t>
      </w:r>
      <w:r>
        <w:t xml:space="preserve"> </w:t>
      </w:r>
      <w:r>
        <w:t xml:space="preserve">procjenjuje se s 2.000 ponovljenih uzoraka izvora. Logaritamska</w:t>
      </w:r>
      <w:r>
        <w:t xml:space="preserve"> </w:t>
      </w:r>
      <w:r>
        <w:t xml:space="preserve">regresija ukupnih interakcija na rang izvora koristi se samo kao opis oblika raspodjele i nije formalni</w:t>
      </w:r>
      <w:r>
        <w:t xml:space="preserve"> </w:t>
      </w:r>
      <w:r>
        <w:t xml:space="preserve">test potencijskoga zakona.</w:t>
      </w:r>
    </w:p>
    <w:p>
      <w:pPr>
        <w:pStyle w:val="BodyText"/>
      </w:pPr>
      <w:r>
        <w:t xml:space="preserve">Za P2 se raspodjele izvorskih prosjeka uspoređuju medijanima, bootstrap intervalom razlike medijana,</w:t>
      </w:r>
      <w:r>
        <w:t xml:space="preserve"> </w:t>
      </w:r>
      <w:r>
        <w:t xml:space="preserve">Wilcoxonovim testom i rang-biserijalnom korelacijom. Glavna prilagođena procjena ograničena je na</w:t>
      </w:r>
      <w:r>
        <w:t xml:space="preserve"> </w:t>
      </w:r>
      <w:r>
        <w:t xml:space="preserve">YouTube izvore s najmanje pet objava. Linearni model za logaritamski transformiran prosjek interakcija</w:t>
      </w:r>
      <w:r>
        <w:t xml:space="preserve"> </w:t>
      </w:r>
      <w:r>
        <w:t xml:space="preserve">po objavi uključuje skupinu izvora, logaritam broja objava i prosječno vrijeme prikupljanja, a</w:t>
      </w:r>
      <w:r>
        <w:t xml:space="preserve"> </w:t>
      </w:r>
      <w:r>
        <w:t xml:space="preserve">intervali i testovi temelje se na heteroskedastički robusnim standardnim pogreškama tipa HC3.</w:t>
      </w:r>
    </w:p>
    <w:p>
      <w:pPr>
        <w:pStyle w:val="BodyText"/>
      </w:pPr>
      <w:r>
        <w:t xml:space="preserve">Za P3 se raspodjela objava po platformi opisuje udjelima i Cramerovim V. Kako bi se smanjila dominacija</w:t>
      </w:r>
      <w:r>
        <w:t xml:space="preserve"> </w:t>
      </w:r>
      <w:r>
        <w:t xml:space="preserve">vrlo produktivnih izvora, dodatno se računa prosječni platformski udio u kojem svaka oznaka izvora ima</w:t>
      </w:r>
      <w:r>
        <w:t xml:space="preserve"> </w:t>
      </w:r>
      <w:r>
        <w:t xml:space="preserve">jednaku težinu, a interval razlike dobiva se bootstrapom izvora.</w:t>
      </w:r>
    </w:p>
    <w:p>
      <w:pPr>
        <w:pStyle w:val="BodyText"/>
      </w:pPr>
      <w:r>
        <w:t xml:space="preserve">Za P4 se razlika tematskih profila sažima Jensen-Shannonovom divergencijom, a nesigurnost divergencije</w:t>
      </w:r>
      <w:r>
        <w:t xml:space="preserve"> </w:t>
      </w:r>
      <w:r>
        <w:t xml:space="preserve">i pojedinačnih razlika procjenjuje se bootstrapom izvora, čime se nesigurnost veže uz to koji su izvori</w:t>
      </w:r>
      <w:r>
        <w:t xml:space="preserve"> </w:t>
      </w:r>
      <w:r>
        <w:t xml:space="preserve">promatrani, a ne uz broj objava.</w:t>
      </w:r>
    </w:p>
    <w:p>
      <w:pPr>
        <w:pStyle w:val="BodyText"/>
      </w:pPr>
      <w:r>
        <w:t xml:space="preserve">Za P5 se unutar kreatorskoga sloja modelira logaritamski transformiran prosjek interakcija po objavi</w:t>
      </w:r>
      <w:r>
        <w:t xml:space="preserve"> </w:t>
      </w:r>
      <w:r>
        <w:t xml:space="preserve">pomoću logaritma broja objava te pokazatelja svećeničkih izvora i karizmatskih zajednica, uz laičke</w:t>
      </w:r>
      <w:r>
        <w:t xml:space="preserve"> </w:t>
      </w:r>
      <w:r>
        <w:t xml:space="preserve">kreatorske izvore kao referentnu skupinu. Primarna platforma nije uključena jer u prihvatljivom uzorku</w:t>
      </w:r>
      <w:r>
        <w:t xml:space="preserve"> </w:t>
      </w:r>
      <w:r>
        <w:t xml:space="preserve">nema najmanje pet izvora u svakoj njezinoj kategoriji. Taj se model tumači eksplorativno i njegovi se</w:t>
      </w:r>
      <w:r>
        <w:t xml:space="preserve"> </w:t>
      </w:r>
      <w:r>
        <w:t xml:space="preserve">koeficijenti ne čitaju uzročno.</w:t>
      </w:r>
    </w:p>
    <w:bookmarkEnd w:id="18"/>
    <w:bookmarkEnd w:id="19"/>
    <w:bookmarkStart w:id="58" w:name="rezultati"/>
    <w:p>
      <w:pPr>
        <w:pStyle w:val="Heading1"/>
      </w:pPr>
      <w:r>
        <w:t xml:space="preserve">4. Rezultati</w:t>
      </w:r>
    </w:p>
    <w:bookmarkStart w:id="21" w:name="sastav-analitičkoga-skupa"/>
    <w:p>
      <w:pPr>
        <w:pStyle w:val="Heading2"/>
      </w:pPr>
      <w:r>
        <w:t xml:space="preserve">4.1 Sastav analitičkoga skupa</w:t>
      </w:r>
    </w:p>
    <w:p>
      <w:pPr>
        <w:pStyle w:val="FirstParagraph"/>
      </w:pPr>
      <w:r>
        <w:t xml:space="preserve">Primarni skup sadrži 186 oznaka izvora visoke pouzdanosti, od</w:t>
      </w:r>
      <w:r>
        <w:t xml:space="preserve"> </w:t>
      </w:r>
      <w:r>
        <w:t xml:space="preserve">kojih je 67 kreatorskih i</w:t>
      </w:r>
      <w:r>
        <w:t xml:space="preserve"> </w:t>
      </w:r>
      <w:r>
        <w:t xml:space="preserve">119 institucionalnih. One zajedno proizvode</w:t>
      </w:r>
      <w:r>
        <w:t xml:space="preserve"> </w:t>
      </w:r>
      <w:r>
        <w:t xml:space="preserve">29.684 objava, gotovo podjednako raspoređenih između dviju skupina, s</w:t>
      </w:r>
      <w:r>
        <w:t xml:space="preserve"> </w:t>
      </w:r>
      <w:r>
        <w:t xml:space="preserve">14.375 kreatorskih i</w:t>
      </w:r>
      <w:r>
        <w:t xml:space="preserve"> </w:t>
      </w:r>
      <w:r>
        <w:t xml:space="preserve">15.309 institucionalnih objava. Sastav skupina po vrsti</w:t>
      </w:r>
      <w:r>
        <w:t xml:space="preserve"> </w:t>
      </w:r>
      <w:r>
        <w:t xml:space="preserve">aktera prikazan je u</w:t>
      </w:r>
      <w:r>
        <w:t xml:space="preserve"> </w:t>
      </w:r>
      <w:hyperlink w:anchor="tbl-composition">
        <w:r>
          <w:rPr>
            <w:rStyle w:val="Hyperlink"/>
          </w:rPr>
          <w:t xml:space="preserve">Table 2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0" w:name="tbl-compositi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2: Sastav primarnoga analitičkog skupa prema vrsti aktera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1858"/>
              <w:gridCol w:w="2424"/>
              <w:gridCol w:w="1131"/>
              <w:gridCol w:w="565"/>
              <w:gridCol w:w="1939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Skupina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Vrsta aktera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Oznake izvora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Objave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Zabilježene interakcije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Biskupijski i župni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10.452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681.816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Službeni crkveni komunikatori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4.093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621.017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Katoličke akademske ustanove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764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11.877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Laički kreatorski kanali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35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13.290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3.190.740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Karizmatske zajednice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15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902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135.637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Pojedinačni svećenici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183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6.627</w:t>
                  </w:r>
                </w:p>
              </w:tc>
            </w:tr>
          </w:tbl>
          <w:bookmarkEnd w:id="20"/>
          <w:p/>
        </w:tc>
      </w:tr>
    </w:tbl>
    <w:p>
      <w:pPr>
        <w:pStyle w:val="BodyText"/>
      </w:pPr>
      <w:r>
        <w:t xml:space="preserve">Sastav pokazuje da dvije skupine nisu zrcalne slike jedna druge. Kreatorski sloj počiva na razmjerno</w:t>
      </w:r>
      <w:r>
        <w:t xml:space="preserve"> </w:t>
      </w:r>
      <w:r>
        <w:t xml:space="preserve">malom broju laičkih kanala koji nose gotovo sve objave i gotovo sve zabilježene interakcije te skupine,</w:t>
      </w:r>
      <w:r>
        <w:t xml:space="preserve"> </w:t>
      </w:r>
      <w:r>
        <w:t xml:space="preserve">dok institucionalni sloj čini razgranata mreža biskupijskih i župnih izvora uz mali broj središnjih</w:t>
      </w:r>
      <w:r>
        <w:t xml:space="preserve"> </w:t>
      </w:r>
      <w:r>
        <w:t xml:space="preserve">komunikatora. Ta asimetrija sama po sebi upućuje na to da usporedba prosjeka dviju skupina ne bi bila</w:t>
      </w:r>
      <w:r>
        <w:t xml:space="preserve"> </w:t>
      </w:r>
      <w:r>
        <w:t xml:space="preserve">dovoljna te da raspodjelu unutar kreatorskoga sloja treba analizirati prvu.</w:t>
      </w:r>
    </w:p>
    <w:bookmarkEnd w:id="21"/>
    <w:bookmarkStart w:id="30" w:name="koncentracija-zabilježene-pažnje"/>
    <w:p>
      <w:pPr>
        <w:pStyle w:val="Heading2"/>
      </w:pPr>
      <w:r>
        <w:t xml:space="preserve">4.2 Koncentracija zabilježene pažnje</w:t>
      </w:r>
    </w:p>
    <w:p>
      <w:pPr>
        <w:pStyle w:val="FirstParagraph"/>
      </w:pPr>
      <w:r>
        <w:t xml:space="preserve">Analiza koncentracije obuhvaća 66 kreatorskih oznaka izvora s barem jednom</w:t>
      </w:r>
      <w:r>
        <w:t xml:space="preserve"> </w:t>
      </w:r>
      <w:r>
        <w:t xml:space="preserve">opaženom vrijednošću. Na 14.115 objava zabilježeno je ukupno</w:t>
      </w:r>
      <w:r>
        <w:t xml:space="preserve"> </w:t>
      </w:r>
      <w:r>
        <w:t xml:space="preserve">3.333.004 interakcija. Gini koeficijent iznosi</w:t>
      </w:r>
      <w:r>
        <w:t xml:space="preserve"> </w:t>
      </w:r>
      <w:r>
        <w:t xml:space="preserve">0,913, uz 95-postotni bootstrap interval</w:t>
      </w:r>
      <w:r>
        <w:t xml:space="preserve"> </w:t>
      </w:r>
      <w:r>
        <w:t xml:space="preserve">[0,789; 0,937]. Deset vodećih oznaka izvora prikuplja</w:t>
      </w:r>
      <w:r>
        <w:t xml:space="preserve"> </w:t>
      </w:r>
      <w:r>
        <w:t xml:space="preserve">92,5 % svih zabilježenih interakcija, a gornjih deset posto izvora</w:t>
      </w:r>
      <w:r>
        <w:t xml:space="preserve"> </w:t>
      </w:r>
      <w:r>
        <w:t xml:space="preserve">89,1 %. Koncentracija ostaje vrlo visoka i u široj klasifikaciji, u kojoj</w:t>
      </w:r>
      <w:r>
        <w:t xml:space="preserve"> </w:t>
      </w:r>
      <w:r>
        <w:t xml:space="preserve">Gini iznosi 0,942, pa nalaz ne ovisi o tome koliko je klasifikacija</w:t>
      </w:r>
      <w:r>
        <w:t xml:space="preserve"> </w:t>
      </w:r>
      <w:r>
        <w:t xml:space="preserve">restriktivna.</w:t>
      </w:r>
    </w:p>
    <w:p>
      <w:pPr>
        <w:pStyle w:val="BodyText"/>
      </w:pPr>
      <w:hyperlink w:anchor="fig-h1-lorenz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pokazuje koliko se kumulativna raspodjela udaljava od potpune jednakosti. Površina</w:t>
      </w:r>
      <w:r>
        <w:t xml:space="preserve"> </w:t>
      </w:r>
      <w:r>
        <w:t xml:space="preserve">između dijagonale i krivulje nije dokaz posebne distribucijske porodice, ali jasno pokazuje da</w:t>
      </w:r>
      <w:r>
        <w:t xml:space="preserve"> </w:t>
      </w:r>
      <w:r>
        <w:t xml:space="preserve">kreatorski sloj nije homogena skupina uspješnih računa. Većina oznaka izvora nalazi se u području u</w:t>
      </w:r>
      <w:r>
        <w:t xml:space="preserve"> </w:t>
      </w:r>
      <w:r>
        <w:t xml:space="preserve">kojem kumulativni udio pažnje ostaje blizu nule.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5" w:name="fig-h1-lorenz"/>
          <w:p>
            <w:pPr>
              <w:pStyle w:val="Compact"/>
              <w:jc w:val="center"/>
            </w:pPr>
            <w:r>
              <w:drawing>
                <wp:inline>
                  <wp:extent cx="5334000" cy="45720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output/figures/h1_lorenz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Lorenzova krivulja zabilježenih interakcija među kreatorskim oznakama izvora visoke pouzdanosti. Dijagonala označava jednaku raspodjelu. Izvor: autorska analiza korpusa.</w:t>
            </w:r>
          </w:p>
          <w:bookmarkEnd w:id="25"/>
        </w:tc>
      </w:tr>
    </w:tbl>
    <w:p>
      <w:pPr>
        <w:pStyle w:val="BodyText"/>
      </w:pPr>
      <w:r>
        <w:t xml:space="preserve">Opisna regresija ukupnih interakcija na rang izvora ima koeficijent determinacije</w:t>
      </w:r>
      <w:r>
        <w:t xml:space="preserve"> </w:t>
      </w:r>
      <w:r>
        <w:t xml:space="preserve">0,830 i nagib -3,16. Riječ je o snažnoj</w:t>
      </w:r>
      <w:r>
        <w:t xml:space="preserve"> </w:t>
      </w:r>
      <w:r>
        <w:t xml:space="preserve">linearnoj prilagodbi na logaritamskim skalama, kakva se redovito pojavljuje u raspodjelama pažnje, ali</w:t>
      </w:r>
      <w:r>
        <w:t xml:space="preserve"> </w:t>
      </w:r>
      <w:r>
        <w:t xml:space="preserve">ta prilagodba nije dovoljna za tvrdnju da podaci slijede potencijski zakon.</w:t>
      </w:r>
      <w:r>
        <w:t xml:space="preserve"> </w:t>
      </w:r>
      <w:hyperlink w:anchor="fig-h1-rank">
        <w:r>
          <w:rPr>
            <w:rStyle w:val="Hyperlink"/>
          </w:rPr>
          <w:t xml:space="preserve">Figure 2</w:t>
        </w:r>
      </w:hyperlink>
      <w:r>
        <w:t xml:space="preserve"> </w:t>
      </w:r>
      <w:r>
        <w:t xml:space="preserve">zato služi kao</w:t>
      </w:r>
      <w:r>
        <w:t xml:space="preserve"> </w:t>
      </w:r>
      <w:r>
        <w:t xml:space="preserve">dijagnostički prikaz oblika, a ne kao test distribucije.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9" w:name="fig-h1-rank"/>
          <w:p>
            <w:pPr>
              <w:pStyle w:val="Compact"/>
              <w:jc w:val="center"/>
            </w:pPr>
            <w:r>
              <w:drawing>
                <wp:inline>
                  <wp:extent cx="5334000" cy="38100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output/figures/h1_rank_siz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2: Odnos ranga izvora i ukupnih interakcija na logaritamskim skalama. Pravac je opisna prilagodba. Izvor: autorska analiza korpusa.</w:t>
            </w:r>
          </w:p>
          <w:bookmarkEnd w:id="29"/>
        </w:tc>
      </w:tr>
    </w:tbl>
    <w:bookmarkEnd w:id="30"/>
    <w:bookmarkStart w:id="36" w:name="razlika-u-interakcijama-po-objavi"/>
    <w:p>
      <w:pPr>
        <w:pStyle w:val="Heading2"/>
      </w:pPr>
      <w:r>
        <w:t xml:space="preserve">4.3 Razlika u interakcijama po objavi</w:t>
      </w:r>
    </w:p>
    <w:p>
      <w:pPr>
        <w:pStyle w:val="FirstParagraph"/>
      </w:pPr>
      <w:r>
        <w:t xml:space="preserve">Među izvorima s najmanje pet objava usporedba obuhvaća 42</w:t>
      </w:r>
      <w:r>
        <w:t xml:space="preserve"> </w:t>
      </w:r>
      <w:r>
        <w:t xml:space="preserve">kreatorska i 60 institucionalnih izvora. Kreatorski medijan</w:t>
      </w:r>
      <w:r>
        <w:t xml:space="preserve"> </w:t>
      </w:r>
      <w:r>
        <w:t xml:space="preserve">iznosi 158,0 interakcija po objavi, a institucionalni</w:t>
      </w:r>
      <w:r>
        <w:t xml:space="preserve"> </w:t>
      </w:r>
      <w:r>
        <w:t xml:space="preserve">14,4. Procijenjena razlika medijana iznosi</w:t>
      </w:r>
      <w:r>
        <w:t xml:space="preserve"> </w:t>
      </w:r>
      <w:r>
        <w:t xml:space="preserve">143,6, uz 95-postotni bootstrap interval</w:t>
      </w:r>
      <w:r>
        <w:t xml:space="preserve"> </w:t>
      </w:r>
      <w:r>
        <w:t xml:space="preserve">[80,0; 203,4]. Wilcoxonov</w:t>
      </w:r>
      <w:r>
        <w:t xml:space="preserve"> </w:t>
      </w:r>
      <w:r>
        <w:t xml:space="preserve">test daje W = 2.051,5 uz p &lt; 0,001, a</w:t>
      </w:r>
      <w:r>
        <w:t xml:space="preserve"> </w:t>
      </w:r>
      <w:r>
        <w:t xml:space="preserve">rang-biserijalna korelacija od 0,628 pokazuje veliku raspodjelnu razliku</w:t>
      </w:r>
      <w:r>
        <w:t xml:space="preserve"> </w:t>
      </w:r>
      <w:r>
        <w:t xml:space="preserve">u korist kreatorskih izvora.</w:t>
      </w:r>
    </w:p>
    <w:p>
      <w:pPr>
        <w:pStyle w:val="BodyText"/>
      </w:pPr>
      <w:hyperlink w:anchor="tbl-engagement-descriptives">
        <w:r>
          <w:rPr>
            <w:rStyle w:val="Hyperlink"/>
          </w:rPr>
          <w:t xml:space="preserve">Table 3</w:t>
        </w:r>
      </w:hyperlink>
      <w:r>
        <w:t xml:space="preserve"> </w:t>
      </w:r>
      <w:r>
        <w:t xml:space="preserve">prikazuje broj izvora, medijan, aritmetičku sredinu i interkvartilni</w:t>
      </w:r>
      <w:r>
        <w:t xml:space="preserve"> </w:t>
      </w:r>
      <w:r>
        <w:t xml:space="preserve">raspon na kojima se usporedba temelji. Razmak između medijana i aritmetičke sredine unutar obiju</w:t>
      </w:r>
      <w:r>
        <w:t xml:space="preserve"> </w:t>
      </w:r>
      <w:r>
        <w:t xml:space="preserve">skupina potvrđuje asimetričnost raspodjela i opravdava oslanjanje na medijan.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1" w:name="tbl-engagement-descriptive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3: Interakcije po objavi prema skupini izvora, izvori s najmanje pet objava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1980"/>
              <w:gridCol w:w="1033"/>
              <w:gridCol w:w="602"/>
              <w:gridCol w:w="688"/>
              <w:gridCol w:w="1721"/>
              <w:gridCol w:w="1893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Skupina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Broj izvora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Objave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Medijan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Aritmetička sredina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Interkvartilni raspon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14.071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158,0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195,0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67,7–234,6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15.186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14,4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80,1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4,5–39,3</w:t>
                  </w:r>
                </w:p>
              </w:tc>
            </w:tr>
          </w:tbl>
          <w:bookmarkEnd w:id="31"/>
          <w:p/>
        </w:tc>
      </w:tr>
    </w:tbl>
    <w:p>
      <w:pPr>
        <w:pStyle w:val="BodyText"/>
      </w:pPr>
      <w:hyperlink w:anchor="fig-h2-engagement">
        <w:r>
          <w:rPr>
            <w:rStyle w:val="Hyperlink"/>
          </w:rPr>
          <w:t xml:space="preserve">Figure 3</w:t>
        </w:r>
      </w:hyperlink>
      <w:r>
        <w:t xml:space="preserve"> </w:t>
      </w:r>
      <w:r>
        <w:t xml:space="preserve">pokazuje i veliku heterogenost unutar obiju skupina. Nalaz nije rezultat samo</w:t>
      </w:r>
      <w:r>
        <w:t xml:space="preserve"> </w:t>
      </w:r>
      <w:r>
        <w:t xml:space="preserve">nekoliko ekstremnih vrijednosti jer je razlika vidljiva i u medijanima i u kvartilima, ali rasponi</w:t>
      </w:r>
      <w:r>
        <w:t xml:space="preserve"> </w:t>
      </w:r>
      <w:r>
        <w:t xml:space="preserve">upozoravaju da pripadnost skupini ne određuje uspjeh pojedinačnoga izvora. Najuspješniji institucionalni</w:t>
      </w:r>
      <w:r>
        <w:t xml:space="preserve"> </w:t>
      </w:r>
      <w:r>
        <w:t xml:space="preserve">izvori nadmašuju velik dio kreatorskoga sloja.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5" w:name="fig-h2-engagement"/>
          <w:p>
            <w:pPr>
              <w:pStyle w:val="Compact"/>
              <w:jc w:val="center"/>
            </w:pPr>
            <w:r>
              <w:drawing>
                <wp:inline>
                  <wp:extent cx="5334000" cy="38100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output/figures/h2_interactions_per_post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3: Prosječne interakcije po zabilježenoj objavi za izvore visoke pouzdanosti s najmanje pet objava. Okomita os koristi pseudo-logaritamsku transformaciju koja zadržava nulu. Izvor: autorska analiza korpusa.</w:t>
            </w:r>
          </w:p>
          <w:bookmarkEnd w:id="35"/>
        </w:tc>
      </w:tr>
    </w:tbl>
    <w:p>
      <w:pPr>
        <w:pStyle w:val="BodyText"/>
      </w:pPr>
      <w:r>
        <w:t xml:space="preserve">Usporedba ograničena na YouTube obuhvaća 41 kreatorski i</w:t>
      </w:r>
      <w:r>
        <w:t xml:space="preserve"> </w:t>
      </w:r>
      <w:r>
        <w:t xml:space="preserve">29 institucionalnih izvora. Nakon prilagodbe za broj</w:t>
      </w:r>
      <w:r>
        <w:t xml:space="preserve"> </w:t>
      </w:r>
      <w:r>
        <w:t xml:space="preserve">objava i prosječno vrijeme prikupljanja, koeficijent kreatorske skupine iznosi</w:t>
      </w:r>
      <w:r>
        <w:t xml:space="preserve"> </w:t>
      </w:r>
      <w:r>
        <w:t xml:space="preserve">1,449, uz 95-postotni HC3 interval</w:t>
      </w:r>
      <w:r>
        <w:t xml:space="preserve"> </w:t>
      </w:r>
      <w:r>
        <w:t xml:space="preserve">[0,664; 2,233] i</w:t>
      </w:r>
      <w:r>
        <w:t xml:space="preserve"> </w:t>
      </w:r>
      <w:r>
        <w:t xml:space="preserve">p &lt; 0,001. Eksponencirani koeficijent iznosi</w:t>
      </w:r>
      <w:r>
        <w:t xml:space="preserve"> </w:t>
      </w:r>
      <w:r>
        <w:t xml:space="preserve">4,26, a na transformiranoj se ljestvici procijenjeni odnos</w:t>
      </w:r>
      <w:r>
        <w:t xml:space="preserve"> </w:t>
      </w:r>
      <w:r>
        <w:t xml:space="preserve">kreće od 1,94 do</w:t>
      </w:r>
      <w:r>
        <w:t xml:space="preserve"> </w:t>
      </w:r>
      <w:r>
        <w:t xml:space="preserve">9,33. Time se glavni nalaz ne oslanja na izravnu</w:t>
      </w:r>
      <w:r>
        <w:t xml:space="preserve"> </w:t>
      </w:r>
      <w:r>
        <w:t xml:space="preserve">usporedbu weba i društvenih platformi, koje bilježe različite vrste korisničkih radnji.</w:t>
      </w:r>
    </w:p>
    <w:bookmarkEnd w:id="36"/>
    <w:bookmarkStart w:id="41" w:name="platformski-profili"/>
    <w:p>
      <w:pPr>
        <w:pStyle w:val="Heading2"/>
      </w:pPr>
      <w:r>
        <w:t xml:space="preserve">4.4 Platformski profili</w:t>
      </w:r>
    </w:p>
    <w:p>
      <w:pPr>
        <w:pStyle w:val="FirstParagraph"/>
      </w:pPr>
      <w:r>
        <w:t xml:space="preserve">Kreatorski izvori objavljuju 100,0 % sadržaja na Facebooku,</w:t>
      </w:r>
      <w:r>
        <w:t xml:space="preserve"> </w:t>
      </w:r>
      <w:r>
        <w:t xml:space="preserve">Instagramu, YouTubeu i Twitteru/X, dok odgovarajući institucionalni udio iznosi</w:t>
      </w:r>
      <w:r>
        <w:t xml:space="preserve"> </w:t>
      </w:r>
      <w:r>
        <w:t xml:space="preserve">56,2 %. Web čini</w:t>
      </w:r>
      <w:r>
        <w:t xml:space="preserve"> </w:t>
      </w:r>
      <w:r>
        <w:t xml:space="preserve">43,8 % institucionalnih objava i tek</w:t>
      </w:r>
      <w:r>
        <w:t xml:space="preserve"> </w:t>
      </w:r>
      <w:r>
        <w:t xml:space="preserve">0,02 % kreatorskih. Povezanost skupine i platforme vrlo je</w:t>
      </w:r>
      <w:r>
        <w:t xml:space="preserve"> </w:t>
      </w:r>
      <w:r>
        <w:t xml:space="preserve">snažna, s Cramerovim V od 0,772 na razini objava i</w:t>
      </w:r>
      <w:r>
        <w:t xml:space="preserve"> </w:t>
      </w:r>
      <w:r>
        <w:t xml:space="preserve">0,459 na razini prisutnosti izvora na platformi.</w:t>
      </w:r>
    </w:p>
    <w:p>
      <w:pPr>
        <w:pStyle w:val="BodyText"/>
      </w:pPr>
      <w:r>
        <w:t xml:space="preserve">Razlika nije samo posljedica najproduktivnijih izvora. Kada svaka oznaka izvora dobije jednaku težinu,</w:t>
      </w:r>
      <w:r>
        <w:t xml:space="preserve"> </w:t>
      </w:r>
      <w:r>
        <w:t xml:space="preserve">prosječan udio društvenih platformi iznosi</w:t>
      </w:r>
      <w:r>
        <w:t xml:space="preserve"> </w:t>
      </w:r>
      <w:r>
        <w:t xml:space="preserve">97,0 % za kreatorske i</w:t>
      </w:r>
      <w:r>
        <w:t xml:space="preserve"> </w:t>
      </w:r>
      <w:r>
        <w:t xml:space="preserve">68,1 % za institucionalne izvore. Razlika</w:t>
      </w:r>
      <w:r>
        <w:t xml:space="preserve"> </w:t>
      </w:r>
      <w:r>
        <w:t xml:space="preserve">iznosi 28,9 postotnih bodova, uz 95-postotni bootstrap interval od</w:t>
      </w:r>
      <w:r>
        <w:t xml:space="preserve"> </w:t>
      </w:r>
      <w:r>
        <w:t xml:space="preserve">19,9 postotnih bodova do</w:t>
      </w:r>
      <w:r>
        <w:t xml:space="preserve"> </w:t>
      </w:r>
      <w:r>
        <w:t xml:space="preserve">38,0 postotnih bodova.</w:t>
      </w:r>
    </w:p>
    <w:p>
      <w:pPr>
        <w:pStyle w:val="BodyText"/>
      </w:pPr>
      <w:hyperlink w:anchor="fig-h3-platform">
        <w:r>
          <w:rPr>
            <w:rStyle w:val="Hyperlink"/>
          </w:rPr>
          <w:t xml:space="preserve">Figure 4</w:t>
        </w:r>
      </w:hyperlink>
      <w:r>
        <w:t xml:space="preserve"> </w:t>
      </w:r>
      <w:r>
        <w:t xml:space="preserve">prikazuje postotke objava, a ne procijenjenu publiku, pa opisuje alokaciju sadržaja u</w:t>
      </w:r>
      <w:r>
        <w:t xml:space="preserve"> </w:t>
      </w:r>
      <w:r>
        <w:t xml:space="preserve">promatranom korpusu. Prikaz ne identificira namjeru aktera niti algoritamsku distribuciju. Njegova je</w:t>
      </w:r>
      <w:r>
        <w:t xml:space="preserve"> </w:t>
      </w:r>
      <w:r>
        <w:t xml:space="preserve">glavna implikacija metodološka. Budući da se dvije skupine gotovo ne susreću izvan YouTubea, svaka</w:t>
      </w:r>
      <w:r>
        <w:t xml:space="preserve"> </w:t>
      </w:r>
      <w:r>
        <w:t xml:space="preserve">usporedba pažnje koja ne fiksira platformu mjeri i razliku među akterima i razliku među metrikama.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0" w:name="fig-h3-platform"/>
          <w:p>
            <w:pPr>
              <w:pStyle w:val="Compact"/>
              <w:jc w:val="center"/>
            </w:pPr>
            <w:r>
              <w:drawing>
                <wp:inline>
                  <wp:extent cx="5334000" cy="333375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output/figures/h3_platform_mix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33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4: Raspodjela objava po platformi i skupini u primarnom skupu visoke pouzdanosti. Izvor: autorska analiza korpusa.</w:t>
            </w:r>
          </w:p>
          <w:bookmarkEnd w:id="40"/>
        </w:tc>
      </w:tr>
    </w:tbl>
    <w:bookmarkEnd w:id="41"/>
    <w:bookmarkStart w:id="47" w:name="tematski-profili"/>
    <w:p>
      <w:pPr>
        <w:pStyle w:val="Heading2"/>
      </w:pPr>
      <w:r>
        <w:t xml:space="preserve">4.5 Tematski profili</w:t>
      </w:r>
    </w:p>
    <w:p>
      <w:pPr>
        <w:pStyle w:val="FirstParagraph"/>
      </w:pPr>
      <w:r>
        <w:t xml:space="preserve">Rječnik je dodijelio barem jednu oznaku za 28.904 od</w:t>
      </w:r>
      <w:r>
        <w:t xml:space="preserve"> </w:t>
      </w:r>
      <w:r>
        <w:t xml:space="preserve">29.684 objava s tekstom, što je pokrivenost od</w:t>
      </w:r>
      <w:r>
        <w:t xml:space="preserve"> </w:t>
      </w:r>
      <w:r>
        <w:t xml:space="preserve">97,4 %, uz ukupno 71.988 dodijeljenih oznaka.</w:t>
      </w:r>
      <w:r>
        <w:t xml:space="preserve"> </w:t>
      </w:r>
      <w:r>
        <w:t xml:space="preserve">Jensen-Shannonova divergencija između dvaju profila iznosi 0,079, uz 95-postotni</w:t>
      </w:r>
      <w:r>
        <w:t xml:space="preserve"> </w:t>
      </w:r>
      <w:r>
        <w:t xml:space="preserve">izvorski bootstrap interval od 0,061 do 0,157.</w:t>
      </w:r>
      <w:r>
        <w:t xml:space="preserve"> </w:t>
      </w:r>
      <w:r>
        <w:t xml:space="preserve">Procjena je viša od rezultata šire klasifikacije, koja daje 0,059, što</w:t>
      </w:r>
      <w:r>
        <w:t xml:space="preserve"> </w:t>
      </w:r>
      <w:r>
        <w:t xml:space="preserve">potvrđuje da izbor izvora utječe na veličinu izmjerene tematske razlike.</w:t>
      </w:r>
    </w:p>
    <w:p>
      <w:pPr>
        <w:pStyle w:val="BodyText"/>
      </w:pPr>
      <w:r>
        <w:t xml:space="preserve">Vrijednost divergencije razmjerno je niska, što znači da profili dijele zajedničku jezgru. Razlike se</w:t>
      </w:r>
      <w:r>
        <w:t xml:space="preserve"> </w:t>
      </w:r>
      <w:r>
        <w:t xml:space="preserve">koncentriraju u dvjema obiteljima. Devocijske oznake imaju 15,8 postotnih bodova</w:t>
      </w:r>
      <w:r>
        <w:t xml:space="preserve"> </w:t>
      </w:r>
      <w:r>
        <w:t xml:space="preserve">veći udio u kreatorskom profilu, uz interval od 8,4 postotnih bodova do</w:t>
      </w:r>
      <w:r>
        <w:t xml:space="preserve"> </w:t>
      </w:r>
      <w:r>
        <w:t xml:space="preserve">38,0 postotnih bodova. Institucionalne oznake imaju</w:t>
      </w:r>
      <w:r>
        <w:t xml:space="preserve"> </w:t>
      </w:r>
      <w:r>
        <w:t xml:space="preserve">17,0 postotnih bodova veći udio u institucionalnom profilu, uz interval</w:t>
      </w:r>
      <w:r>
        <w:t xml:space="preserve"> </w:t>
      </w:r>
      <w:r>
        <w:t xml:space="preserve">razlike kreatorskih prema institucionalnim izvorima od -21,0 postotnih bodova do</w:t>
      </w:r>
      <w:r>
        <w:t xml:space="preserve"> </w:t>
      </w:r>
      <w:r>
        <w:t xml:space="preserve">-12,4 postotnih bodova. Cjelovita raspodjela prikazana je u</w:t>
      </w:r>
      <w:r>
        <w:t xml:space="preserve"> </w:t>
      </w:r>
      <w:hyperlink w:anchor="tbl-themes">
        <w:r>
          <w:rPr>
            <w:rStyle w:val="Hyperlink"/>
          </w:rPr>
          <w:t xml:space="preserve">Table 4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2" w:name="tbl-theme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4: Udio tematskih oznaka po skupini izvora i razlika s 95-postotnim bootstrap intervalom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1584"/>
              <w:gridCol w:w="1677"/>
              <w:gridCol w:w="2143"/>
              <w:gridCol w:w="745"/>
              <w:gridCol w:w="177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Tematska obitelj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Razlika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95 % CI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Devocijski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42,8 %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27,0 %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15,8 %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[8,4 %; 38,0 %]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Politički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11,2 %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3,1 %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8,1 %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[-0,8 %; 11,1 %]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Liturgijski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16,6 %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17,1 %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-0,5 %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[-11,3 %; 9,9 %]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Socijalni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11,5 %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13,2 %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-1,6 %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[-6,4 %; 4,0 %]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Zajednički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13,7 %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18,4 %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-4,7 %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[-13,9 %; 0,2 %]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Institucionalni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4,1 %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21,1 %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-17,0 %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[-21,0 %; -12,4 %]</w:t>
                  </w:r>
                </w:p>
              </w:tc>
            </w:tr>
          </w:tbl>
          <w:bookmarkEnd w:id="42"/>
          <w:p/>
        </w:tc>
      </w:tr>
    </w:tbl>
    <w:p>
      <w:pPr>
        <w:pStyle w:val="BodyText"/>
      </w:pPr>
      <w:hyperlink w:anchor="fig-h4-theme">
        <w:r>
          <w:rPr>
            <w:rStyle w:val="Hyperlink"/>
          </w:rPr>
          <w:t xml:space="preserve">Figure 5</w:t>
        </w:r>
      </w:hyperlink>
      <w:r>
        <w:t xml:space="preserve"> </w:t>
      </w:r>
      <w:r>
        <w:t xml:space="preserve">pokazuje da se jasni devocijski i institucionalni naglasci pojavljuju unutar profila koji</w:t>
      </w:r>
      <w:r>
        <w:t xml:space="preserve"> </w:t>
      </w:r>
      <w:r>
        <w:t xml:space="preserve">i dalje dijele liturgijske, socijalne i zajedničke teme. Politička je razlika po smjeru u korist</w:t>
      </w:r>
      <w:r>
        <w:t xml:space="preserve"> </w:t>
      </w:r>
      <w:r>
        <w:t xml:space="preserve">kreatorskih izvora, ali njezin interval obuhvaća nulu, pa se ne tumači. Podaci stoga više podupiru</w:t>
      </w:r>
      <w:r>
        <w:t xml:space="preserve"> </w:t>
      </w:r>
      <w:r>
        <w:t xml:space="preserve">diferencijaciju naglaska nego tvrdnju o odvojenim tematskim svjetovima.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6" w:name="fig-h4-theme"/>
          <w:p>
            <w:pPr>
              <w:pStyle w:val="Compact"/>
              <w:jc w:val="center"/>
            </w:pPr>
            <w:r>
              <w:drawing>
                <wp:inline>
                  <wp:extent cx="5334000" cy="38100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output/figures/h4_theme_differenc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5: Razlika u udjelu tematskih oznaka. Pozitivne vrijednosti označavaju veći udio među kreatorskim izvorima. Crte prikazuju 95-postotne izvorske bootstrap intervale. Izvor: autorska analiza korpusa.</w:t>
            </w:r>
          </w:p>
          <w:bookmarkEnd w:id="46"/>
        </w:tc>
      </w:tr>
    </w:tbl>
    <w:bookmarkEnd w:id="47"/>
    <w:bookmarkStart w:id="53" w:name="struktura-kreatorskoga-sloja"/>
    <w:p>
      <w:pPr>
        <w:pStyle w:val="Heading2"/>
      </w:pPr>
      <w:r>
        <w:t xml:space="preserve">4.6 Struktura kreatorskoga sloja</w:t>
      </w:r>
    </w:p>
    <w:p>
      <w:pPr>
        <w:pStyle w:val="FirstParagraph"/>
      </w:pPr>
      <w:r>
        <w:t xml:space="preserve">Eksplorativni model obuhvaća 42 kreatorskih izvora s najmanje pet objava,</w:t>
      </w:r>
      <w:r>
        <w:t xml:space="preserve"> </w:t>
      </w:r>
      <w:r>
        <w:t xml:space="preserve">među kojima je 41 primarno na YouTubeu. Takav nedostatak</w:t>
      </w:r>
      <w:r>
        <w:t xml:space="preserve"> </w:t>
      </w:r>
      <w:r>
        <w:t xml:space="preserve">preklapanja onemogućuje odvojenu procjenu učinka primarne platforme. Izostavljanje platformskoga</w:t>
      </w:r>
      <w:r>
        <w:t xml:space="preserve"> </w:t>
      </w:r>
      <w:r>
        <w:t xml:space="preserve">koeficijenta nije negativan nalaz, nego identifikacijsko ograničenje, jer u ovom korpusu platforma nije</w:t>
      </w:r>
      <w:r>
        <w:t xml:space="preserve"> </w:t>
      </w:r>
      <w:r>
        <w:t xml:space="preserve">jedan od nekoliko ravnomjerno dostupnih izbora kreatora.</w:t>
      </w:r>
    </w:p>
    <w:p>
      <w:pPr>
        <w:pStyle w:val="BodyText"/>
      </w:pPr>
      <w:r>
        <w:t xml:space="preserve">Model uključuje 26 laičkih izvora,</w:t>
      </w:r>
      <w:r>
        <w:t xml:space="preserve"> </w:t>
      </w:r>
      <w:r>
        <w:t xml:space="preserve">9 svećeničkih izvora i</w:t>
      </w:r>
      <w:r>
        <w:t xml:space="preserve"> </w:t>
      </w:r>
      <w:r>
        <w:t xml:space="preserve">7 karizmatskih zajednica te objašnjava</w:t>
      </w:r>
      <w:r>
        <w:t xml:space="preserve"> </w:t>
      </w:r>
      <w:r>
        <w:t xml:space="preserve">29,5 % varijance uz prilagodbu za broj prediktora. Učestalost objavljivanja</w:t>
      </w:r>
      <w:r>
        <w:t xml:space="preserve"> </w:t>
      </w:r>
      <w:r>
        <w:t xml:space="preserve">nije povezana s prosjekom interakcija po objavi, uz koeficijent 0,008</w:t>
      </w:r>
      <w:r>
        <w:t xml:space="preserve"> </w:t>
      </w:r>
      <w:r>
        <w:t xml:space="preserve">i p = 0,953. Taj nalaz razlikuje učinkovitost pojedinačne objave od aritmetičke</w:t>
      </w:r>
      <w:r>
        <w:t xml:space="preserve"> </w:t>
      </w:r>
      <w:r>
        <w:t xml:space="preserve">činjenice da više objava stvara više prilika za interakciju, pa produktivnost sama po sebi ne</w:t>
      </w:r>
      <w:r>
        <w:t xml:space="preserve"> </w:t>
      </w:r>
      <w:r>
        <w:t xml:space="preserve">poboljšava odaziv po objavi.</w:t>
      </w:r>
    </w:p>
    <w:p>
      <w:pPr>
        <w:pStyle w:val="BodyText"/>
      </w:pPr>
      <w:r>
        <w:t xml:space="preserve">Svećenički izvori imaju nižu procijenjenu vrijednost od laičkih. Koeficijent iznosi</w:t>
      </w:r>
      <w:r>
        <w:t xml:space="preserve"> </w:t>
      </w:r>
      <w:r>
        <w:t xml:space="preserve">-2,259, uz 95-postotni HC3 interval</w:t>
      </w:r>
      <w:r>
        <w:t xml:space="preserve"> </w:t>
      </w:r>
      <w:r>
        <w:t xml:space="preserve">[-3,626; -0,892] i p = 0,002, a</w:t>
      </w:r>
      <w:r>
        <w:t xml:space="preserve"> </w:t>
      </w:r>
      <w:r>
        <w:t xml:space="preserve">procijenjeni omjer na transformiranoj ljestvici iznosi 0,10.</w:t>
      </w:r>
      <w:r>
        <w:t xml:space="preserve"> </w:t>
      </w:r>
      <w:r>
        <w:t xml:space="preserve">Koeficijent karizmatskih zajednica nije statistički razlučiv od laičke skupine</w:t>
      </w:r>
      <w:r>
        <w:t xml:space="preserve"> </w:t>
      </w:r>
      <w:r>
        <w:t xml:space="preserve">(p = 0,704).</w:t>
      </w:r>
      <w:r>
        <w:t xml:space="preserve"> </w:t>
      </w:r>
      <w:hyperlink w:anchor="fig-h5-model">
        <w:r>
          <w:rPr>
            <w:rStyle w:val="Hyperlink"/>
          </w:rPr>
          <w:t xml:space="preserve">Figure 6</w:t>
        </w:r>
      </w:hyperlink>
      <w:r>
        <w:t xml:space="preserve"> </w:t>
      </w:r>
      <w:r>
        <w:t xml:space="preserve">prikazuje veliku nesigurnost procjena za manje</w:t>
      </w:r>
      <w:r>
        <w:t xml:space="preserve"> </w:t>
      </w:r>
      <w:r>
        <w:t xml:space="preserve">skupine, a</w:t>
      </w:r>
      <w:r>
        <w:t xml:space="preserve"> </w:t>
      </w:r>
      <w:hyperlink w:anchor="tbl-models">
        <w:r>
          <w:rPr>
            <w:rStyle w:val="Hyperlink"/>
          </w:rPr>
          <w:t xml:space="preserve">Table 5</w:t>
        </w:r>
      </w:hyperlink>
      <w:r>
        <w:t xml:space="preserve"> </w:t>
      </w:r>
      <w:r>
        <w:t xml:space="preserve">objedinjuje glavne modelske procjene.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1" w:name="fig-h5-model"/>
          <w:p>
            <w:pPr>
              <w:pStyle w:val="Compact"/>
              <w:jc w:val="center"/>
            </w:pPr>
            <w:r>
              <w:drawing>
                <wp:inline>
                  <wp:extent cx="5334000" cy="38100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output/figures/h5_coefficients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6: Koeficijenti eksplorativnoga modela interakcija po objavi s 95-postotnim HC3 intervalima. Referentna skupina za vrste izvora jesu laički kreatorski izvori. Izvor: autorska analiza korpusa.</w:t>
            </w:r>
          </w:p>
          <w:bookmarkEnd w:id="51"/>
        </w:tc>
      </w:tr>
    </w:tbl>
    <w:p>
      <w:pPr>
        <w:pStyle w:val="BodyText"/>
      </w:pPr>
      <w:r>
        <w:t xml:space="preserve"> 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2" w:name="tbl-model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5: Modelske procjene interakcija po objavi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1931"/>
              <w:gridCol w:w="2221"/>
              <w:gridCol w:w="676"/>
              <w:gridCol w:w="1641"/>
              <w:gridCol w:w="482"/>
              <w:gridCol w:w="965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Model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Prediktor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β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95 % CI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e^β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P2. YouTube izvori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izvor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1,449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[0,664; 2,233]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4,26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&lt; 0,001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P5. Kreatorski sloj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Logaritam broja objava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0,008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[-0,251; 0,266]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1,01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= 0,953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P5. Kreatorski sloj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Svećenički izvor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-2,259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[-3,626; -0,892]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0,10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= 0,002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P5. Kreatorski sloj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Karizmatska zajednica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-0,349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[-2,191; 1,494]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0,71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= 0,704</w:t>
                  </w:r>
                </w:p>
              </w:tc>
            </w:tr>
          </w:tbl>
          <w:bookmarkEnd w:id="52"/>
          <w:p/>
        </w:tc>
      </w:tr>
    </w:tbl>
    <w:p>
      <w:pPr>
        <w:pStyle w:val="BodyText"/>
      </w:pPr>
      <w:r>
        <w:t xml:space="preserve">Eksponencirani koeficijenti odnose se na logaritamski transformiran ishod i ne treba ih zamijeniti</w:t>
      </w:r>
      <w:r>
        <w:t xml:space="preserve"> </w:t>
      </w:r>
      <w:r>
        <w:t xml:space="preserve">neprilagođenim omjerom aritmetičkih prosjeka. Niži koeficijent svećeničkih izvora ne može se pripisati</w:t>
      </w:r>
      <w:r>
        <w:t xml:space="preserve"> </w:t>
      </w:r>
      <w:r>
        <w:t xml:space="preserve">svećeničkom statusu kao uzroku. Skupina je mala, sadržajno heterogena i gotovo potpuno vezana uz jednu</w:t>
      </w:r>
      <w:r>
        <w:t xml:space="preserve"> </w:t>
      </w:r>
      <w:r>
        <w:t xml:space="preserve">platformu, pa razlika može odražavati format, publiku, starost objava, intenzitet kanala ili druge</w:t>
      </w:r>
      <w:r>
        <w:t xml:space="preserve"> </w:t>
      </w:r>
      <w:r>
        <w:t xml:space="preserve">neopažene značajke.</w:t>
      </w:r>
    </w:p>
    <w:bookmarkEnd w:id="53"/>
    <w:bookmarkStart w:id="55" w:name="provjere-robusnosti"/>
    <w:p>
      <w:pPr>
        <w:pStyle w:val="Heading2"/>
      </w:pPr>
      <w:r>
        <w:t xml:space="preserve">4.7 Provjere robusnosti</w:t>
      </w:r>
    </w:p>
    <w:p>
      <w:pPr>
        <w:pStyle w:val="FirstParagraph"/>
      </w:pPr>
      <w:r>
        <w:t xml:space="preserve">Glavni nalaz o razlici u interakcijama po objavi provjeren je uz četiri kombinacije klasifikacijskoga</w:t>
      </w:r>
      <w:r>
        <w:t xml:space="preserve"> </w:t>
      </w:r>
      <w:r>
        <w:t xml:space="preserve">skupa i minimalnoga broja objava, prikazane u</w:t>
      </w:r>
      <w:r>
        <w:t xml:space="preserve"> </w:t>
      </w:r>
      <w:hyperlink w:anchor="tbl-robustness">
        <w:r>
          <w:rPr>
            <w:rStyle w:val="Hyperlink"/>
          </w:rPr>
          <w:t xml:space="preserve">Table 6</w:t>
        </w:r>
      </w:hyperlink>
      <w:r>
        <w:t xml:space="preserve">. Koeficijent kreatorske skupine ostaje</w:t>
      </w:r>
      <w:r>
        <w:t xml:space="preserve"> </w:t>
      </w:r>
      <w:r>
        <w:t xml:space="preserve">pozitivan i statistički razlučiv u svim kombinacijama. Njegova je veličina najveća u primarnom skupu,</w:t>
      </w:r>
      <w:r>
        <w:t xml:space="preserve"> </w:t>
      </w:r>
      <w:r>
        <w:t xml:space="preserve">a manja u širem skupu, što je očekivano jer širi skup uključuje mnogo slabo vidljivih devocijskih</w:t>
      </w:r>
      <w:r>
        <w:t xml:space="preserve"> </w:t>
      </w:r>
      <w:r>
        <w:t xml:space="preserve">naziva čija pripadnost katoličkim akterima nije provjerena. Restriktivnija klasifikacija dakle ne</w:t>
      </w:r>
      <w:r>
        <w:t xml:space="preserve"> </w:t>
      </w:r>
      <w:r>
        <w:t xml:space="preserve">proizvodi nalaz, nego ga izoštrava.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4" w:name="tbl-robustnes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6: Procijenjena razlika kreatorskih i institucionalnih izvora prema klasifikacijskom skupu i pragu broja objava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376"/>
              <w:gridCol w:w="1296"/>
              <w:gridCol w:w="1656"/>
              <w:gridCol w:w="432"/>
              <w:gridCol w:w="1080"/>
              <w:gridCol w:w="360"/>
              <w:gridCol w:w="72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Specifikacija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Kreatorski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Institucionalni izvori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β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95 % CI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e^β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Primarni skup, najmanje 1 objava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66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1,838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[1,296; 2,381]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6,28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&lt; 0,001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Primarni skup, najmanje 5 objava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1,915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[1,300; 2,530]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6,79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&lt; 0,001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Široki skup, najmanje 1 objava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231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0,866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[0,489; 1,243]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2,38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&lt; 0,001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Široki skup, najmanje 5 objava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112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60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1,298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[0,789; 1,806]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3,66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p &lt; 0,001</w:t>
                  </w:r>
                </w:p>
              </w:tc>
            </w:tr>
          </w:tbl>
          <w:bookmarkEnd w:id="54"/>
          <w:p/>
        </w:tc>
      </w:tr>
    </w:tbl>
    <w:p>
      <w:pPr>
        <w:pStyle w:val="BodyText"/>
      </w:pPr>
      <w:r>
        <w:t xml:space="preserve">Usporedba unutar YouTubea provjerena je uz pragove od jedne, deset i dvadeset objava. Koeficijent</w:t>
      </w:r>
      <w:r>
        <w:t xml:space="preserve"> </w:t>
      </w:r>
      <w:r>
        <w:t xml:space="preserve">ostaje pozitivan u svim specifikacijama, s najmanjom procjenom</w:t>
      </w:r>
      <w:r>
        <w:t xml:space="preserve"> </w:t>
      </w:r>
      <w:r>
        <w:t xml:space="preserve">1,367 i najvećom p-vrijednošću</w:t>
      </w:r>
      <w:r>
        <w:t xml:space="preserve"> </w:t>
      </w:r>
      <w:r>
        <w:t xml:space="preserve">p = 0,024 pri najstrožem pragu, gdje uzorak pada na manje od</w:t>
      </w:r>
      <w:r>
        <w:t xml:space="preserve"> </w:t>
      </w:r>
      <w:r>
        <w:t xml:space="preserve">polovice izvora. Nalaz o svećeničkim izvorima ostaje sličan uz pragove od jedne i deset objava, ali pri</w:t>
      </w:r>
      <w:r>
        <w:t xml:space="preserve"> </w:t>
      </w:r>
      <w:r>
        <w:t xml:space="preserve">pragu od dvadeset objava u uzorku ostaju samo dva takva izvora i interval obuhvaća nulu, pa se ta</w:t>
      </w:r>
      <w:r>
        <w:t xml:space="preserve"> </w:t>
      </w:r>
      <w:r>
        <w:t xml:space="preserve">razlika ne može smatrati utvrđenom.</w:t>
      </w:r>
    </w:p>
    <w:bookmarkEnd w:id="55"/>
    <w:bookmarkStart w:id="57" w:name="sinteza-nalaza"/>
    <w:p>
      <w:pPr>
        <w:pStyle w:val="Heading2"/>
      </w:pPr>
      <w:r>
        <w:t xml:space="preserve">4.8 Sinteza nalaza</w:t>
      </w:r>
    </w:p>
    <w:p>
      <w:pPr>
        <w:pStyle w:val="FirstParagraph"/>
      </w:pPr>
      <w:hyperlink w:anchor="tbl-findings">
        <w:r>
          <w:rPr>
            <w:rStyle w:val="Hyperlink"/>
          </w:rPr>
          <w:t xml:space="preserve">Table 7</w:t>
        </w:r>
      </w:hyperlink>
      <w:r>
        <w:t xml:space="preserve"> </w:t>
      </w:r>
      <w:r>
        <w:t xml:space="preserve">razdvaja čvrste opisne nalaze, usporedbu sa zajedničkom platformom i eksplorativne</w:t>
      </w:r>
      <w:r>
        <w:t xml:space="preserve"> </w:t>
      </w:r>
      <w:r>
        <w:t xml:space="preserve">rezultate. Razdvajanje je nužno jer se pet pitanja ne oslanja na jednako jaku evidenciju, pa bi</w:t>
      </w:r>
      <w:r>
        <w:t xml:space="preserve"> </w:t>
      </w:r>
      <w:r>
        <w:t xml:space="preserve">njihovo objedinjavanje u jednu potvrdnu priču precijenilo doseg slabijih procjena.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6" w:name="tbl-finding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7: Sinteza empirijskih odgovora prema snazi dokaza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342"/>
              <w:gridCol w:w="5950"/>
              <w:gridCol w:w="1626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Pitanje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Nalaz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Snaga dokaza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P1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Vrlo visoka koncentracija zabilježenih interakcija među pouzdano klasificiranim kreatorskim izvorima.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Robustan opisni nalaz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P2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Više interakcija po objavi za kreatorske izvore; razlika ostaje u YouTube usporedbi sa zajedničkom platformom.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Poduprto unutar zajedničke platforme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P3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Kreatorski i institucionalni izvori imaju snažno različite platformske profile.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Robustan opisni nalaz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P4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Tematski profili dijele zajedničku jezgru, uz jači devocijski naglasak kreatora i institucionalni naglasak institucija.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Razlika naglasaka; široka nesigurnost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P5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Primarna platforma nije procjenjiva unutar kreatorskoga sloja; svećenički izvori imaju niže interakcije po objavi u eksplorativnom modelu.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Eksplorativno; ograničeno preklapanje</w:t>
                  </w:r>
                </w:p>
              </w:tc>
            </w:tr>
          </w:tbl>
          <w:bookmarkEnd w:id="56"/>
          <w:p/>
        </w:tc>
      </w:tr>
    </w:tbl>
    <w:bookmarkEnd w:id="57"/>
    <w:bookmarkEnd w:id="58"/>
    <w:bookmarkStart w:id="65" w:name="rasprava"/>
    <w:p>
      <w:pPr>
        <w:pStyle w:val="Heading1"/>
      </w:pPr>
      <w:r>
        <w:t xml:space="preserve">5. Rasprava</w:t>
      </w:r>
    </w:p>
    <w:bookmarkStart w:id="59" w:name="doseg-glavnoga-nalaza"/>
    <w:p>
      <w:pPr>
        <w:pStyle w:val="Heading2"/>
      </w:pPr>
      <w:r>
        <w:t xml:space="preserve">5.1 Doseg glavnoga nalaza</w:t>
      </w:r>
    </w:p>
    <w:p>
      <w:pPr>
        <w:pStyle w:val="FirstParagraph"/>
      </w:pPr>
      <w:r>
        <w:t xml:space="preserve">Najčvršći rezultat rada nije opća tvrdnja da su influenceri uspješniji od institucija. Rezultat je uži.</w:t>
      </w:r>
      <w:r>
        <w:t xml:space="preserve"> </w:t>
      </w:r>
      <w:r>
        <w:t xml:space="preserve">Pouzdano prepoznati kreatorski izvori prikupljaju više zabilježenih interakcija po objavi od</w:t>
      </w:r>
      <w:r>
        <w:t xml:space="preserve"> </w:t>
      </w:r>
      <w:r>
        <w:t xml:space="preserve">institucionalnih izvora, a razlika ostaje velika i kada se usporedba ograniči na YouTube. Time se</w:t>
      </w:r>
      <w:r>
        <w:t xml:space="preserve"> </w:t>
      </w:r>
      <w:r>
        <w:t xml:space="preserve">isključuje najjednostavnije alternativno objašnjenje prema kojem je cijeli deficit samo posljedica</w:t>
      </w:r>
      <w:r>
        <w:t xml:space="preserve"> </w:t>
      </w:r>
      <w:r>
        <w:t xml:space="preserve">usporedbe platformi s različitim metrikama. Ta je provjera bila nužna jer podaci pokazuju gotovo</w:t>
      </w:r>
      <w:r>
        <w:t xml:space="preserve"> </w:t>
      </w:r>
      <w:r>
        <w:t xml:space="preserve">potpunu platformsku razdvojenost dviju skupina izvan YouTubea.</w:t>
      </w:r>
    </w:p>
    <w:p>
      <w:pPr>
        <w:pStyle w:val="BodyText"/>
      </w:pPr>
      <w:r>
        <w:t xml:space="preserve">Zajednička platforma ipak ne stvara eksperimentalne uvjete. Kreatorski i institucionalni YouTube izvori</w:t>
      </w:r>
      <w:r>
        <w:t xml:space="preserve"> </w:t>
      </w:r>
      <w:r>
        <w:t xml:space="preserve">mogu se razlikovati po formatu, publici, trajanju videa, temama, starosti kanala i komunikacijskim</w:t>
      </w:r>
      <w:r>
        <w:t xml:space="preserve"> </w:t>
      </w:r>
      <w:r>
        <w:t xml:space="preserve">ciljevima. Procjena zato opisuje uvjetovanu povezanost, a ne učinak kreatorskoga identiteta. Izraz</w:t>
      </w:r>
      <w:r>
        <w:t xml:space="preserve"> </w:t>
      </w:r>
      <w:r>
        <w:t xml:space="preserve">institucionalni deficit pažnje koristan je samo dok ostaje vezan uz zabilježene reakcije na objavu.</w:t>
      </w:r>
      <w:r>
        <w:t xml:space="preserve"> </w:t>
      </w:r>
      <w:r>
        <w:t xml:space="preserve">Nalaz ne pokazuje koliko je ljudi sadržaj vidjelo, koliko mu vjeruje, je li ispunio institucionalnu</w:t>
      </w:r>
      <w:r>
        <w:t xml:space="preserve"> </w:t>
      </w:r>
      <w:r>
        <w:t xml:space="preserve">svrhu ili kakav je duhovni i društveni učinak imao.</w:t>
      </w:r>
    </w:p>
    <w:bookmarkEnd w:id="59"/>
    <w:bookmarkStart w:id="60" w:name="X2f32ffdba4676af55489b6ddf95c78da627407c"/>
    <w:p>
      <w:pPr>
        <w:pStyle w:val="Heading2"/>
      </w:pPr>
      <w:r>
        <w:t xml:space="preserve">5.2 Koncentracija mijenja smisao prosječne prednosti</w:t>
      </w:r>
    </w:p>
    <w:p>
      <w:pPr>
        <w:pStyle w:val="FirstParagraph"/>
      </w:pPr>
      <w:r>
        <w:t xml:space="preserve">Visoka koncentracija bitno mijenja interpretaciju kreatorske prednosti. Digitalna pažnja nije</w:t>
      </w:r>
      <w:r>
        <w:t xml:space="preserve"> </w:t>
      </w:r>
      <w:r>
        <w:t xml:space="preserve">ravnomjerno raspoređena među alternativnim glasovima. Nekoliko oznaka izvora prikuplja gotovo sve</w:t>
      </w:r>
      <w:r>
        <w:t xml:space="preserve"> </w:t>
      </w:r>
      <w:r>
        <w:t xml:space="preserve">zabilježene interakcije, dok velika većina ostaje na periferiji vidljivosti. Institucionalni</w:t>
      </w:r>
      <w:r>
        <w:t xml:space="preserve"> </w:t>
      </w:r>
      <w:r>
        <w:t xml:space="preserve">komunikator zato ne konkurira apstraktnoj skupini influencera, nego malom broju iznimno vidljivih</w:t>
      </w:r>
      <w:r>
        <w:t xml:space="preserve"> </w:t>
      </w:r>
      <w:r>
        <w:t xml:space="preserve">kanala i dugom repu slabo vidljivih izvora. Taj je nalaz u skladu s očekivanjem izvedenim iz ekonomije</w:t>
      </w:r>
      <w:r>
        <w:t xml:space="preserve"> </w:t>
      </w:r>
      <w:r>
        <w:t xml:space="preserve">pažnje, prema kojem vidljivost djeluje kumulativno.</w:t>
      </w:r>
    </w:p>
    <w:p>
      <w:pPr>
        <w:pStyle w:val="BodyText"/>
      </w:pPr>
      <w:r>
        <w:t xml:space="preserve">Iz toga slijedi i praktična posljedica za tumačenje javne rasprave. Uspješni kreatorski kanali nisu</w:t>
      </w:r>
      <w:r>
        <w:t xml:space="preserve"> </w:t>
      </w:r>
      <w:r>
        <w:t xml:space="preserve">reprezentativni za kreatorski sloj, pa se iz njihova primjera ne može izvesti zaključak o tome što</w:t>
      </w:r>
      <w:r>
        <w:t xml:space="preserve"> </w:t>
      </w:r>
      <w:r>
        <w:t xml:space="preserve">općenito funkcionira u religijskoj digitalnoj komunikaciji. Metodološka je posljedica jednaka. Prosjek</w:t>
      </w:r>
      <w:r>
        <w:t xml:space="preserve"> </w:t>
      </w:r>
      <w:r>
        <w:t xml:space="preserve">skupine snažno ovisi o vodećim izvorima, dok medijan bolje opisuje tipičnu oznaku izvora, zbog čega</w:t>
      </w:r>
      <w:r>
        <w:t xml:space="preserve"> </w:t>
      </w:r>
      <w:r>
        <w:t xml:space="preserve">ovaj rad izvještava obje vrste sažetka i daje prednost medijanu.</w:t>
      </w:r>
    </w:p>
    <w:bookmarkEnd w:id="60"/>
    <w:bookmarkStart w:id="61" w:name="platformska-podjela-rada"/>
    <w:p>
      <w:pPr>
        <w:pStyle w:val="Heading2"/>
      </w:pPr>
      <w:r>
        <w:t xml:space="preserve">5.3 Platformska podjela rada</w:t>
      </w:r>
    </w:p>
    <w:p>
      <w:pPr>
        <w:pStyle w:val="FirstParagraph"/>
      </w:pPr>
      <w:r>
        <w:t xml:space="preserve">Kreatorski je sloj gotovo potpuno usmjeren na društvene platforme, ponajprije YouTube, dok institucije</w:t>
      </w:r>
      <w:r>
        <w:t xml:space="preserve"> </w:t>
      </w:r>
      <w:r>
        <w:t xml:space="preserve">kombiniraju web, Facebook i YouTube. To nije samo distribucijski detalj. Web stranica može služiti</w:t>
      </w:r>
      <w:r>
        <w:t xml:space="preserve"> </w:t>
      </w:r>
      <w:r>
        <w:t xml:space="preserve">autoritativnoj objavi, arhivi i pretraživosti, a društvena platforma neposrednoj reakciji i ponovnoj</w:t>
      </w:r>
      <w:r>
        <w:t xml:space="preserve"> </w:t>
      </w:r>
      <w:r>
        <w:t xml:space="preserve">distribuciji. Manji broj interakcija zato ne znači nužno da institucionalni kanal nije ostvario svoju</w:t>
      </w:r>
      <w:r>
        <w:t xml:space="preserve"> </w:t>
      </w:r>
      <w:r>
        <w:t xml:space="preserve">svrhu, jer dio institucionalne komunikacije uopće nije oblikovan za izazivanje reakcije.</w:t>
      </w:r>
    </w:p>
    <w:p>
      <w:pPr>
        <w:pStyle w:val="BodyText"/>
      </w:pPr>
      <w:r>
        <w:t xml:space="preserve">Nalaz ipak pokazuje da institucionalne organizacije ne mogu procjenjivati digitalni odaziv prema</w:t>
      </w:r>
      <w:r>
        <w:t xml:space="preserve"> </w:t>
      </w:r>
      <w:r>
        <w:t xml:space="preserve">volumenu objavljivanja. Za smislenu ocjenu potrebni su platformski specifičan cilj, usporediva skupina</w:t>
      </w:r>
      <w:r>
        <w:t xml:space="preserve"> </w:t>
      </w:r>
      <w:r>
        <w:t xml:space="preserve">izvora i konzistentna metrika. Za YouTube to znači uspoređivati reakcije po objavi s drugim kanalima</w:t>
      </w:r>
      <w:r>
        <w:t xml:space="preserve"> </w:t>
      </w:r>
      <w:r>
        <w:t xml:space="preserve">slične veličine i razdoblja, a ne s web-produkcijom iste institucije. Podatak da učestalost</w:t>
      </w:r>
      <w:r>
        <w:t xml:space="preserve"> </w:t>
      </w:r>
      <w:r>
        <w:t xml:space="preserve">objavljivanja nije povezana s odazivom po objavi dodatno upućuje na to da povećanje količine sadržaja</w:t>
      </w:r>
      <w:r>
        <w:t xml:space="preserve"> </w:t>
      </w:r>
      <w:r>
        <w:t xml:space="preserve">nije samo po sebi komunikacijska strategija.</w:t>
      </w:r>
    </w:p>
    <w:bookmarkEnd w:id="61"/>
    <w:bookmarkStart w:id="62" w:name="tematska-blizina-i-razlika-naglaska"/>
    <w:p>
      <w:pPr>
        <w:pStyle w:val="Heading2"/>
      </w:pPr>
      <w:r>
        <w:t xml:space="preserve">5.4 Tematska blizina i razlika naglaska</w:t>
      </w:r>
    </w:p>
    <w:p>
      <w:pPr>
        <w:pStyle w:val="FirstParagraph"/>
      </w:pPr>
      <w:r>
        <w:t xml:space="preserve">Tematski rezultat ne podupire sliku dvaju odvojenih religijskih svjetova. Obje skupine sudjeluju u</w:t>
      </w:r>
      <w:r>
        <w:t xml:space="preserve"> </w:t>
      </w:r>
      <w:r>
        <w:t xml:space="preserve">zajedničkom repertoaru, ali mu daju različite težine. Kreatorski izvori više naglašavaju devocijski</w:t>
      </w:r>
      <w:r>
        <w:t xml:space="preserve"> </w:t>
      </w:r>
      <w:r>
        <w:t xml:space="preserve">sadržaj, dok institucionalni izvori više bilježe hijerarhiju, dokumente i službena događanja. Riječ je</w:t>
      </w:r>
      <w:r>
        <w:t xml:space="preserve"> </w:t>
      </w:r>
      <w:r>
        <w:t xml:space="preserve">o komunikacijskoj specijalizaciji unutar zajedničkoga polja, a ne o tematskoj segmentaciji, što</w:t>
      </w:r>
      <w:r>
        <w:t xml:space="preserve"> </w:t>
      </w:r>
      <w:r>
        <w:t xml:space="preserve">odgovara očekivanju da digitalno okruženje mijenja registar i vjerodostojnost religijskoga glasa prije</w:t>
      </w:r>
      <w:r>
        <w:t xml:space="preserve"> </w:t>
      </w:r>
      <w:r>
        <w:t xml:space="preserve">nego njegov predmet.</w:t>
      </w:r>
    </w:p>
    <w:p>
      <w:pPr>
        <w:pStyle w:val="BodyText"/>
      </w:pPr>
      <w:r>
        <w:t xml:space="preserve">Rječnički rezultat ne govori jesu li teme obrađene afirmativno, kritički ili informativno, niti</w:t>
      </w:r>
      <w:r>
        <w:t xml:space="preserve"> </w:t>
      </w:r>
      <w:r>
        <w:t xml:space="preserve">pokazuje proizvodi li devocijski naglasak više interakcija. Za takav bi zaključak bilo potrebno</w:t>
      </w:r>
      <w:r>
        <w:t xml:space="preserve"> </w:t>
      </w:r>
      <w:r>
        <w:t xml:space="preserve">validirano kodiranje sadržaja i dizajn koji povezuje temu pojedinačne objave s platformski usporedivom</w:t>
      </w:r>
      <w:r>
        <w:t xml:space="preserve"> </w:t>
      </w:r>
      <w:r>
        <w:t xml:space="preserve">mjerom pažnje. To je jedan od najizravnijih smjerova daljnjega rada.</w:t>
      </w:r>
    </w:p>
    <w:bookmarkEnd w:id="62"/>
    <w:bookmarkStart w:id="63" w:name="unutarnja-struktura-kreatorskoga-sloja"/>
    <w:p>
      <w:pPr>
        <w:pStyle w:val="Heading2"/>
      </w:pPr>
      <w:r>
        <w:t xml:space="preserve">5.5 Unutarnja struktura kreatorskoga sloja</w:t>
      </w:r>
    </w:p>
    <w:p>
      <w:pPr>
        <w:pStyle w:val="FirstParagraph"/>
      </w:pPr>
      <w:r>
        <w:t xml:space="preserve">Eksplorativna negativna povezanost svećeničkih izvora s interakcijama po objavi važna je upravo zato</w:t>
      </w:r>
      <w:r>
        <w:t xml:space="preserve"> </w:t>
      </w:r>
      <w:r>
        <w:t xml:space="preserve">što ne potvrđuje pretpostavku da osobni klerikalni autoritet automatski donosi digitalnu pažnju.</w:t>
      </w:r>
      <w:r>
        <w:t xml:space="preserve"> </w:t>
      </w:r>
      <w:r>
        <w:t xml:space="preserve">Uzorak je ipak premalen za čvrstu tipologiju. Svećenički kanal može biti arhiva propovijedi, podcast,</w:t>
      </w:r>
      <w:r>
        <w:t xml:space="preserve"> </w:t>
      </w:r>
      <w:r>
        <w:t xml:space="preserve">prijenos mise ili osobni komentar, a te se funkcije ne mogu svesti na jednu binarnu oznaku.</w:t>
      </w:r>
    </w:p>
    <w:p>
      <w:pPr>
        <w:pStyle w:val="BodyText"/>
      </w:pPr>
      <w:r>
        <w:t xml:space="preserve">Nedostatak varijacije primarne platforme jednako je informativan. U ovom korpusu platforma nije jedan</w:t>
      </w:r>
      <w:r>
        <w:t xml:space="preserve"> </w:t>
      </w:r>
      <w:r>
        <w:t xml:space="preserve">od nekoliko ravnomjerno dostupnih izbora kreatora, nego gotovo sastavni dio onoga što kreatorski sloj</w:t>
      </w:r>
      <w:r>
        <w:t xml:space="preserve"> </w:t>
      </w:r>
      <w:r>
        <w:t xml:space="preserve">jest. Pokušaj procjene samostalnoga platformskog učinka temeljio bi se na ekstrapolaciji, a ne na</w:t>
      </w:r>
      <w:r>
        <w:t xml:space="preserve"> </w:t>
      </w:r>
      <w:r>
        <w:t xml:space="preserve">stvarnoj usporedbi, pa je izostavljanje toga koeficijenta metodološka odluka, a ne propust.</w:t>
      </w:r>
    </w:p>
    <w:bookmarkEnd w:id="63"/>
    <w:bookmarkStart w:id="64" w:name="ograničenja"/>
    <w:p>
      <w:pPr>
        <w:pStyle w:val="Heading2"/>
      </w:pPr>
      <w:r>
        <w:t xml:space="preserve">5.6 Ograničenja</w:t>
      </w:r>
    </w:p>
    <w:p>
      <w:pPr>
        <w:pStyle w:val="FirstParagraph"/>
      </w:pPr>
      <w:r>
        <w:t xml:space="preserve">Prvo, klasifikacija se temelji na oznakama izvora i pravilima, a ne na neovisnom dvostrukom kodiranju</w:t>
      </w:r>
      <w:r>
        <w:t xml:space="preserve"> </w:t>
      </w:r>
      <w:r>
        <w:t xml:space="preserve">svakoga računa. Primarni skup smanjuje pogrešku, ali ne jamči da je svaka oznaka katolička, aktivna ili</w:t>
      </w:r>
      <w:r>
        <w:t xml:space="preserve"> </w:t>
      </w:r>
      <w:r>
        <w:t xml:space="preserve">ispravno svrstana. Široka je klasifikacija posebno osjetljiva na općenito kršćanske, regionalne i</w:t>
      </w:r>
      <w:r>
        <w:t xml:space="preserve"> </w:t>
      </w:r>
      <w:r>
        <w:t xml:space="preserve">devocijske nazive, pa služi samo kao analiza osjetljivosti.</w:t>
      </w:r>
    </w:p>
    <w:p>
      <w:pPr>
        <w:pStyle w:val="BodyText"/>
      </w:pPr>
      <w:r>
        <w:t xml:space="preserve">Drugo, oznake izvora nisu razriješene u jedinstvene stvarne aktere. Jedan kanal može imati više</w:t>
      </w:r>
      <w:r>
        <w:t xml:space="preserve"> </w:t>
      </w:r>
      <w:r>
        <w:t xml:space="preserve">varijanti naziva, a ista institucija može nastupati kroz domenu i društveni račun. Takva fragmentacija</w:t>
      </w:r>
      <w:r>
        <w:t xml:space="preserve"> </w:t>
      </w:r>
      <w:r>
        <w:t xml:space="preserve">može povećati broj izvora i utjecati na izmjerenu koncentraciju, pa se rezultati odnose na zabilježene</w:t>
      </w:r>
      <w:r>
        <w:t xml:space="preserve"> </w:t>
      </w:r>
      <w:r>
        <w:t xml:space="preserve">oznake, a ne na potpuno razriješenu mrežu osoba i organizacija.</w:t>
      </w:r>
    </w:p>
    <w:p>
      <w:pPr>
        <w:pStyle w:val="BodyText"/>
      </w:pPr>
      <w:r>
        <w:t xml:space="preserve">Treće, varijabla interakcija snimka je stanja u trenutku prikupljanja. Ne bilježi se jednako dugo</w:t>
      </w:r>
      <w:r>
        <w:t xml:space="preserve"> </w:t>
      </w:r>
      <w:r>
        <w:t xml:space="preserve">nakon objave, ne obuhvaća iste radnje na svim platformama i može ponavljati iste vrijednosti kroz više</w:t>
      </w:r>
      <w:r>
        <w:t xml:space="preserve"> </w:t>
      </w:r>
      <w:r>
        <w:t xml:space="preserve">zapisa. Nula nije siguran dokaz izostanka reakcije. Usporedba unutar YouTubea, prilagodba za vrijeme</w:t>
      </w:r>
      <w:r>
        <w:t xml:space="preserve"> </w:t>
      </w:r>
      <w:r>
        <w:t xml:space="preserve">prikupljanja i prag minimalnoga broja objava smanjuju taj problem, ali ga ne uklanjaju.</w:t>
      </w:r>
    </w:p>
    <w:p>
      <w:pPr>
        <w:pStyle w:val="BodyText"/>
      </w:pPr>
      <w:r>
        <w:t xml:space="preserve">Četvrto, korpus obuhvaća javno dostupne i instrumentom dohvaćene objave. Zatvorene skupine, privatne</w:t>
      </w:r>
      <w:r>
        <w:t xml:space="preserve"> </w:t>
      </w:r>
      <w:r>
        <w:t xml:space="preserve">poruke, dio Instagrama i TikToka, tiskani kanali te offline zajednice ostaju izvan analize, pa vidljivi</w:t>
      </w:r>
      <w:r>
        <w:t xml:space="preserve"> </w:t>
      </w:r>
      <w:r>
        <w:t xml:space="preserve">digitalni sloj nije cijeli katolički komunikacijski prostor.</w:t>
      </w:r>
    </w:p>
    <w:p>
      <w:pPr>
        <w:pStyle w:val="BodyText"/>
      </w:pPr>
      <w:r>
        <w:t xml:space="preserve">Peto, promjena instrumenta prikupljanja tijekom 2024. i nepotpuna 2026. godina ograničavaju vremensku</w:t>
      </w:r>
      <w:r>
        <w:t xml:space="preserve"> </w:t>
      </w:r>
      <w:r>
        <w:t xml:space="preserve">usporedivost, zbog čega se rad ne bavi promjenom kroz vrijeme.</w:t>
      </w:r>
    </w:p>
    <w:p>
      <w:pPr>
        <w:pStyle w:val="BodyText"/>
      </w:pPr>
      <w:r>
        <w:t xml:space="preserve">Šesto, riječ je o opservacijskim podacima. Modeli ne mogu razlikovati učinak identiteta izvora od</w:t>
      </w:r>
      <w:r>
        <w:t xml:space="preserve"> </w:t>
      </w:r>
      <w:r>
        <w:t xml:space="preserve">učinka kvalitete produkcije, baze pratitelja, plaćene promocije, algoritamske preporuke, teme ili dobi</w:t>
      </w:r>
      <w:r>
        <w:t xml:space="preserve"> </w:t>
      </w:r>
      <w:r>
        <w:t xml:space="preserve">objave. Statističke veze ne treba čitati kao preporuku da institucije oponašaju kreatore bez obzira na</w:t>
      </w:r>
      <w:r>
        <w:t xml:space="preserve"> </w:t>
      </w:r>
      <w:r>
        <w:t xml:space="preserve">vlastitu komunikacijsku svrhu.</w:t>
      </w:r>
    </w:p>
    <w:p>
      <w:pPr>
        <w:pStyle w:val="BodyText"/>
      </w:pPr>
      <w:r>
        <w:t xml:space="preserve">Sedmo, tematski rječnik koristi široke jezične korijene. Visoka pokrivenost nije isto što i visoka</w:t>
      </w:r>
      <w:r>
        <w:t xml:space="preserve"> </w:t>
      </w:r>
      <w:r>
        <w:t xml:space="preserve">preciznost, a višestruke oznake nisu međusobno isključive teme. Intervali procjenjuju varijaciju među</w:t>
      </w:r>
      <w:r>
        <w:t xml:space="preserve"> </w:t>
      </w:r>
      <w:r>
        <w:t xml:space="preserve">izvorima, ali ne uključuju pogrešku samoga rječnika.</w:t>
      </w:r>
    </w:p>
    <w:bookmarkEnd w:id="64"/>
    <w:bookmarkEnd w:id="65"/>
    <w:bookmarkStart w:id="66" w:name="zaključak"/>
    <w:p>
      <w:pPr>
        <w:pStyle w:val="Heading1"/>
      </w:pPr>
      <w:r>
        <w:t xml:space="preserve">6. Zaključak</w:t>
      </w:r>
    </w:p>
    <w:p>
      <w:pPr>
        <w:pStyle w:val="FirstParagraph"/>
      </w:pPr>
      <w:r>
        <w:t xml:space="preserve">Analiza hrvatskoga digitalnog medijskog prostora pokazuje institucionalni deficit zabilježenih</w:t>
      </w:r>
      <w:r>
        <w:t xml:space="preserve"> </w:t>
      </w:r>
      <w:r>
        <w:t xml:space="preserve">interakcija po objavi. Nalaz je vidljiv među izvorima visoke pouzdanosti i ostaje velik unutar</w:t>
      </w:r>
      <w:r>
        <w:t xml:space="preserve"> </w:t>
      </w:r>
      <w:r>
        <w:t xml:space="preserve">YouTubea nakon prilagodbe za aktivnost i vrijeme prikupljanja, a potvrđuju ga i provjere s različitim</w:t>
      </w:r>
      <w:r>
        <w:t xml:space="preserve"> </w:t>
      </w:r>
      <w:r>
        <w:t xml:space="preserve">klasifikacijskim skupovima i pragovima. Istodobno je pažnja među kreatorskim izvorima izrazito</w:t>
      </w:r>
      <w:r>
        <w:t xml:space="preserve"> </w:t>
      </w:r>
      <w:r>
        <w:t xml:space="preserve">koncentrirana, pa prednost kreatorskoga sloja pripada malom broju vrlo vidljivih kanala, a ne svakom</w:t>
      </w:r>
      <w:r>
        <w:t xml:space="preserve"> </w:t>
      </w:r>
      <w:r>
        <w:t xml:space="preserve">izvoru koji djeluje izvan institucije.</w:t>
      </w:r>
    </w:p>
    <w:p>
      <w:pPr>
        <w:pStyle w:val="BodyText"/>
      </w:pPr>
      <w:r>
        <w:t xml:space="preserve">Kreatorski i institucionalni izvori imaju snažno različite platformske profile, ali dijele velik dio</w:t>
      </w:r>
      <w:r>
        <w:t xml:space="preserve"> </w:t>
      </w:r>
      <w:r>
        <w:t xml:space="preserve">tematskoga repertoara i razlikuju se više po naglasku nego po odvojenosti tema. Unutar kreatorskoga</w:t>
      </w:r>
      <w:r>
        <w:t xml:space="preserve"> </w:t>
      </w:r>
      <w:r>
        <w:t xml:space="preserve">sloja podaci ne dopuštaju procjenu samostalnoga učinka primarne platforme, a razlika svećeničkih i</w:t>
      </w:r>
      <w:r>
        <w:t xml:space="preserve"> </w:t>
      </w:r>
      <w:r>
        <w:t xml:space="preserve">laičkih izvora ostaje eksplorativna.</w:t>
      </w:r>
    </w:p>
    <w:p>
      <w:pPr>
        <w:pStyle w:val="BodyText"/>
      </w:pPr>
      <w:r>
        <w:t xml:space="preserve">Rad stoga sužava, a ne proširuje, tvrdnju o institucionalnom deficitu pažnje. Digitalne interakcije</w:t>
      </w:r>
      <w:r>
        <w:t xml:space="preserve"> </w:t>
      </w:r>
      <w:r>
        <w:t xml:space="preserve">otkrivaju jednu važnu dimenziju odaziva publike, ali ne mjere autoritet, povjerenje, doseg ni</w:t>
      </w:r>
      <w:r>
        <w:t xml:space="preserve"> </w:t>
      </w:r>
      <w:r>
        <w:t xml:space="preserve">ostvarenje pastoralne i informativne svrhe. Upravo to ograničenje omogućuje da se snažan empirijski</w:t>
      </w:r>
      <w:r>
        <w:t xml:space="preserve"> </w:t>
      </w:r>
      <w:r>
        <w:t xml:space="preserve">rezultat zadrži bez pretvaranja u opću ocjenu crkvene komunikacije. Daljnji rad trebao bi povezati</w:t>
      </w:r>
      <w:r>
        <w:t xml:space="preserve"> </w:t>
      </w:r>
      <w:r>
        <w:t xml:space="preserve">temu pojedinačne objave s platformski usporedivom mjerom pažnje, razriješiti oznake izvora u stvarne</w:t>
      </w:r>
      <w:r>
        <w:t xml:space="preserve"> </w:t>
      </w:r>
      <w:r>
        <w:t xml:space="preserve">aktere i dopuniti mjeru reakcije pokazateljima dosega i povjerenja.</w:t>
      </w:r>
    </w:p>
    <w:bookmarkEnd w:id="66"/>
    <w:bookmarkStart w:id="67" w:name="literatura"/>
    <w:p>
      <w:pPr>
        <w:pStyle w:val="Heading1"/>
      </w:pPr>
      <w:r>
        <w:t xml:space="preserve">Literatura</w:t>
      </w:r>
    </w:p>
    <w:p>
      <w:pPr>
        <w:pStyle w:val="FirstParagraph"/>
      </w:pPr>
      <w:r>
        <w:t xml:space="preserve">Abidin, C. (2018).</w:t>
      </w:r>
      <w:r>
        <w:t xml:space="preserve"> </w:t>
      </w:r>
      <w:r>
        <w:rPr>
          <w:i/>
          <w:iCs/>
        </w:rPr>
        <w:t xml:space="preserve">Internet Celebrity: Understanding Fame Online</w:t>
      </w:r>
      <w:r>
        <w:t xml:space="preserve">. Emerald Publishing.</w:t>
      </w:r>
    </w:p>
    <w:p>
      <w:pPr>
        <w:pStyle w:val="BodyText"/>
      </w:pPr>
      <w:r>
        <w:t xml:space="preserve">Bucher, T. (2018).</w:t>
      </w:r>
      <w:r>
        <w:t xml:space="preserve"> </w:t>
      </w:r>
      <w:r>
        <w:rPr>
          <w:i/>
          <w:iCs/>
        </w:rPr>
        <w:t xml:space="preserve">If…Then: Algorithmic Power and Politics</w:t>
      </w:r>
      <w:r>
        <w:t xml:space="preserve">. Oxford University Press.</w:t>
      </w:r>
    </w:p>
    <w:p>
      <w:pPr>
        <w:pStyle w:val="BodyText"/>
      </w:pPr>
      <w:r>
        <w:t xml:space="preserve">Campbell, H. A. (2007). Who’s got the power? Religious authority and the internet.</w:t>
      </w:r>
      <w:r>
        <w:t xml:space="preserve"> </w:t>
      </w:r>
      <w:r>
        <w:rPr>
          <w:i/>
          <w:iCs/>
        </w:rPr>
        <w:t xml:space="preserve">Journal of</w:t>
      </w:r>
      <w:r>
        <w:rPr>
          <w:i/>
          <w:iCs/>
        </w:rPr>
        <w:t xml:space="preserve"> </w:t>
      </w:r>
      <w:r>
        <w:rPr>
          <w:i/>
          <w:iCs/>
        </w:rPr>
        <w:t xml:space="preserve">Computer-Mediated Communication, 12</w:t>
      </w:r>
      <w:r>
        <w:t xml:space="preserve">(3), 1043–1062.</w:t>
      </w:r>
    </w:p>
    <w:p>
      <w:pPr>
        <w:pStyle w:val="BodyText"/>
      </w:pPr>
      <w:r>
        <w:t xml:space="preserve">Campbell, H. A. (ur.) (2013).</w:t>
      </w:r>
      <w:r>
        <w:t xml:space="preserve"> </w:t>
      </w:r>
      <w:r>
        <w:rPr>
          <w:i/>
          <w:iCs/>
        </w:rPr>
        <w:t xml:space="preserve">Digital Religion: Understanding Religious Practice in New Media</w:t>
      </w:r>
      <w:r>
        <w:rPr>
          <w:i/>
          <w:iCs/>
        </w:rPr>
        <w:t xml:space="preserve"> </w:t>
      </w:r>
      <w:r>
        <w:rPr>
          <w:i/>
          <w:iCs/>
        </w:rPr>
        <w:t xml:space="preserve">Worlds</w:t>
      </w:r>
      <w:r>
        <w:t xml:space="preserve">. Routledge.</w:t>
      </w:r>
    </w:p>
    <w:p>
      <w:pPr>
        <w:pStyle w:val="BodyText"/>
      </w:pPr>
      <w:r>
        <w:t xml:space="preserve">Cheong, P. H. (2014). Tweet the message? Religious authority and social media innovation.</w:t>
      </w:r>
      <w:r>
        <w:t xml:space="preserve"> </w:t>
      </w:r>
      <w:r>
        <w:rPr>
          <w:i/>
          <w:iCs/>
        </w:rPr>
        <w:t xml:space="preserve">Journal of</w:t>
      </w:r>
      <w:r>
        <w:rPr>
          <w:i/>
          <w:iCs/>
        </w:rPr>
        <w:t xml:space="preserve"> </w:t>
      </w:r>
      <w:r>
        <w:rPr>
          <w:i/>
          <w:iCs/>
        </w:rPr>
        <w:t xml:space="preserve">Religion, Media and Digital Culture, 3</w:t>
      </w:r>
      <w:r>
        <w:t xml:space="preserve">(3), 1–19.</w:t>
      </w:r>
    </w:p>
    <w:p>
      <w:pPr>
        <w:pStyle w:val="BodyText"/>
      </w:pPr>
      <w:r>
        <w:t xml:space="preserve">Davenport, T. H. i Beck, J. C. (2001).</w:t>
      </w:r>
      <w:r>
        <w:t xml:space="preserve"> </w:t>
      </w:r>
      <w:r>
        <w:rPr>
          <w:i/>
          <w:iCs/>
        </w:rPr>
        <w:t xml:space="preserve">The Attention Economy: Understanding the New Currency of</w:t>
      </w:r>
      <w:r>
        <w:rPr>
          <w:i/>
          <w:iCs/>
        </w:rPr>
        <w:t xml:space="preserve"> </w:t>
      </w:r>
      <w:r>
        <w:rPr>
          <w:i/>
          <w:iCs/>
        </w:rPr>
        <w:t xml:space="preserve">Business</w:t>
      </w:r>
      <w:r>
        <w:t xml:space="preserve">. Harvard Business School Press.</w:t>
      </w:r>
    </w:p>
    <w:p>
      <w:pPr>
        <w:pStyle w:val="BodyText"/>
      </w:pPr>
      <w:r>
        <w:t xml:space="preserve">Gillespie, T. (2018).</w:t>
      </w:r>
      <w:r>
        <w:t xml:space="preserve"> </w:t>
      </w:r>
      <w:r>
        <w:rPr>
          <w:i/>
          <w:iCs/>
        </w:rPr>
        <w:t xml:space="preserve">Custodians of the Internet: Platforms, Content Moderation, and the Hidden</w:t>
      </w:r>
      <w:r>
        <w:rPr>
          <w:i/>
          <w:iCs/>
        </w:rPr>
        <w:t xml:space="preserve"> </w:t>
      </w:r>
      <w:r>
        <w:rPr>
          <w:i/>
          <w:iCs/>
        </w:rPr>
        <w:t xml:space="preserve">Decisions That Shape Social Media</w:t>
      </w:r>
      <w:r>
        <w:t xml:space="preserve">. Yale University Press.</w:t>
      </w:r>
    </w:p>
    <w:p>
      <w:pPr>
        <w:pStyle w:val="BodyText"/>
      </w:pPr>
      <w:r>
        <w:t xml:space="preserve">Goldhaber, M. H. (1997). The attention economy and the net.</w:t>
      </w:r>
      <w:r>
        <w:t xml:space="preserve"> </w:t>
      </w:r>
      <w:r>
        <w:rPr>
          <w:i/>
          <w:iCs/>
        </w:rPr>
        <w:t xml:space="preserve">First Monday, 2</w:t>
      </w:r>
      <w:r>
        <w:t xml:space="preserve">(4).</w:t>
      </w:r>
    </w:p>
    <w:p>
      <w:pPr>
        <w:pStyle w:val="BodyText"/>
      </w:pPr>
      <w:r>
        <w:t xml:space="preserve">Hjarvard, S. (2008). The mediatization of religion: A theory of the media as agents of religious</w:t>
      </w:r>
      <w:r>
        <w:t xml:space="preserve"> </w:t>
      </w:r>
      <w:r>
        <w:t xml:space="preserve">change.</w:t>
      </w:r>
      <w:r>
        <w:t xml:space="preserve"> </w:t>
      </w:r>
      <w:r>
        <w:rPr>
          <w:i/>
          <w:iCs/>
        </w:rPr>
        <w:t xml:space="preserve">Northern Lights, 6</w:t>
      </w:r>
      <w:r>
        <w:t xml:space="preserve">(1), 9–26.</w:t>
      </w:r>
    </w:p>
    <w:p>
      <w:pPr>
        <w:pStyle w:val="BodyText"/>
      </w:pPr>
      <w:r>
        <w:t xml:space="preserve">Marwick, A. E. (2013).</w:t>
      </w:r>
      <w:r>
        <w:t xml:space="preserve"> </w:t>
      </w:r>
      <w:r>
        <w:rPr>
          <w:i/>
          <w:iCs/>
        </w:rPr>
        <w:t xml:space="preserve">Status Update: Celebrity, Publicity, and Branding in the Social Media Age</w:t>
      </w:r>
      <w:r>
        <w:t xml:space="preserve">.</w:t>
      </w:r>
      <w:r>
        <w:t xml:space="preserve"> </w:t>
      </w:r>
      <w:r>
        <w:t xml:space="preserve">Yale University Press.</w:t>
      </w:r>
    </w:p>
    <w:p>
      <w:pPr>
        <w:pStyle w:val="BodyText"/>
      </w:pPr>
      <w:r>
        <w:t xml:space="preserve">Simon, H. A. (1971). Designing organizations for an information-rich world. U M. Greenberger (ur.),</w:t>
      </w:r>
      <w:r>
        <w:t xml:space="preserve"> </w:t>
      </w:r>
      <w:r>
        <w:rPr>
          <w:i/>
          <w:iCs/>
        </w:rPr>
        <w:t xml:space="preserve">Computers, Communications, and the Public Interest</w:t>
      </w:r>
      <w:r>
        <w:t xml:space="preserve"> </w:t>
      </w:r>
      <w:r>
        <w:t xml:space="preserve">(str. 37–72). Johns Hopkins Press.</w:t>
      </w:r>
    </w:p>
    <w:p>
      <w:pPr>
        <w:pStyle w:val="BodyText"/>
      </w:pPr>
      <w:r>
        <w:t xml:space="preserve">van Dijck, J., Poell, T. i de Waal, M. (2018).</w:t>
      </w:r>
      <w:r>
        <w:t xml:space="preserve"> </w:t>
      </w:r>
      <w:r>
        <w:rPr>
          <w:i/>
          <w:iCs/>
        </w:rPr>
        <w:t xml:space="preserve">The Platform Society: Public Values in a Connected</w:t>
      </w:r>
      <w:r>
        <w:rPr>
          <w:i/>
          <w:iCs/>
        </w:rPr>
        <w:t xml:space="preserve"> </w:t>
      </w:r>
      <w:r>
        <w:rPr>
          <w:i/>
          <w:iCs/>
        </w:rPr>
        <w:t xml:space="preserve">World</w:t>
      </w:r>
      <w:r>
        <w:t xml:space="preserve">. Oxford University Press.</w:t>
      </w:r>
    </w:p>
    <w:p>
      <w:pPr>
        <w:pStyle w:val="BodyText"/>
      </w:pPr>
      <w:r>
        <w:t xml:space="preserve">Webster, J. G. (2014).</w:t>
      </w:r>
      <w:r>
        <w:t xml:space="preserve"> </w:t>
      </w:r>
      <w:r>
        <w:rPr>
          <w:i/>
          <w:iCs/>
        </w:rPr>
        <w:t xml:space="preserve">The Marketplace of Attention: How Audiences Take Shape in a Digital Age</w:t>
      </w:r>
      <w:r>
        <w:t xml:space="preserve">. MIT</w:t>
      </w:r>
      <w:r>
        <w:t xml:space="preserve"> </w:t>
      </w:r>
      <w:r>
        <w:t xml:space="preserve">Press.</w:t>
      </w:r>
    </w:p>
    <w:bookmarkEnd w:id="67"/>
    <w:bookmarkStart w:id="68" w:name="izjave"/>
    <w:p>
      <w:pPr>
        <w:pStyle w:val="Heading1"/>
      </w:pPr>
      <w:r>
        <w:t xml:space="preserve">Izjave</w:t>
      </w:r>
    </w:p>
    <w:p>
      <w:pPr>
        <w:pStyle w:val="FirstParagraph"/>
      </w:pPr>
      <w:r>
        <w:rPr>
          <w:b/>
          <w:bCs/>
        </w:rPr>
        <w:t xml:space="preserve">Dostupnost podataka.</w:t>
      </w:r>
      <w:r>
        <w:t xml:space="preserve"> </w:t>
      </w:r>
      <w:r>
        <w:t xml:space="preserve">Agregirani rezultati na kojima se temelje sve tablice i slike u radu javno su</w:t>
      </w:r>
      <w:r>
        <w:t xml:space="preserve"> </w:t>
      </w:r>
      <w:r>
        <w:t xml:space="preserve">dostupni. Redčani korpus objava ograničeni je istraživački ulaz i dostupan je pod uvjetima pristupa</w:t>
      </w:r>
      <w:r>
        <w:t xml:space="preserve"> </w:t>
      </w:r>
      <w:r>
        <w:t xml:space="preserve">projekta u okviru kojega je prikupljen. Popisi naziva pojedinačnih računa nisu objavljeni jer nisu</w:t>
      </w:r>
      <w:r>
        <w:t xml:space="preserve"> </w:t>
      </w:r>
      <w:r>
        <w:t xml:space="preserve">nužni za provjeru rezultata.</w:t>
      </w:r>
    </w:p>
    <w:p>
      <w:pPr>
        <w:pStyle w:val="BodyText"/>
      </w:pPr>
      <w:r>
        <w:rPr>
          <w:b/>
          <w:bCs/>
        </w:rPr>
        <w:t xml:space="preserve">Financiranje.</w:t>
      </w:r>
      <w:r>
        <w:t xml:space="preserve"> </w:t>
      </w:r>
      <w:r>
        <w:t xml:space="preserve">Rad je nastao u okviru istraživanja digitalnoga medijskog prostora na Hrvatskom</w:t>
      </w:r>
      <w:r>
        <w:t xml:space="preserve"> </w:t>
      </w:r>
      <w:r>
        <w:t xml:space="preserve">katoličkom sveučilištu.</w:t>
      </w:r>
    </w:p>
    <w:p>
      <w:pPr>
        <w:pStyle w:val="BodyText"/>
      </w:pPr>
      <w:r>
        <w:rPr>
          <w:b/>
          <w:bCs/>
        </w:rPr>
        <w:t xml:space="preserve">Sukob interesa.</w:t>
      </w:r>
      <w:r>
        <w:t xml:space="preserve"> </w:t>
      </w:r>
      <w:r>
        <w:t xml:space="preserve">Autori izjavljuju da nema sukoba interesa.</w:t>
      </w:r>
    </w:p>
    <w:p>
      <w:pPr>
        <w:pStyle w:val="BodyText"/>
      </w:pPr>
      <w:r>
        <w:rPr>
          <w:b/>
          <w:bCs/>
        </w:rPr>
        <w:t xml:space="preserve">Uporaba alata umjetne inteligencije.</w:t>
      </w:r>
      <w:r>
        <w:t xml:space="preserve"> </w:t>
      </w:r>
      <w:r>
        <w:t xml:space="preserve">Alati umjetne inteligencije korišteni su kao pomoć pri</w:t>
      </w:r>
      <w:r>
        <w:t xml:space="preserve"> </w:t>
      </w:r>
      <w:r>
        <w:t xml:space="preserve">provjeri analitičkih postupaka i jezično-strukturnom uređivanju teksta. Autori zadržavaju odgovornost</w:t>
      </w:r>
      <w:r>
        <w:t xml:space="preserve"> </w:t>
      </w:r>
      <w:r>
        <w:t xml:space="preserve">za klasifikacijske odluke, interpretaciju rezultata i konačni tekst.</w:t>
      </w:r>
    </w:p>
    <w:bookmarkEnd w:id="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h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Katolički influenceri i institucionalni deficit pažnje</dc:title>
  <dc:creator>Suzana Obrovac Lipar; Luka Šikić</dc:creator>
  <dc:language>hr</dc:language>
  <cp:keywords/>
  <dcterms:created xsi:type="dcterms:W3CDTF">2026-08-12T08:10:30Z</dcterms:created>
  <dcterms:modified xsi:type="dcterms:W3CDTF">2026-08-12T08:10:30Z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filiations">
    <vt:lpwstr/>
  </property>
  <property fmtid="{D5CDD505-2E9C-101B-9397-08002B2CF9AE}" pid="3" name="authors">
    <vt:lpwstr/>
  </property>
  <property fmtid="{D5CDD505-2E9C-101B-9397-08002B2CF9AE}" pid="4" name="biblio-config">
    <vt:lpwstr>True</vt:lpwstr>
  </property>
  <property fmtid="{D5CDD505-2E9C-101B-9397-08002B2CF9AE}" pid="5" name="by-affiliation">
    <vt:lpwstr/>
  </property>
  <property fmtid="{D5CDD505-2E9C-101B-9397-08002B2CF9AE}" pid="6" name="by-author">
    <vt:lpwstr/>
  </property>
  <property fmtid="{D5CDD505-2E9C-101B-9397-08002B2CF9AE}" pid="7" name="date">
    <vt:lpwstr>2026-08-12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fig-cap-location">
    <vt:lpwstr>bottom</vt:lpwstr>
  </property>
  <property fmtid="{D5CDD505-2E9C-101B-9397-08002B2CF9AE}" pid="11" name="header-includes">
    <vt:lpwstr/>
  </property>
  <property fmtid="{D5CDD505-2E9C-101B-9397-08002B2CF9AE}" pid="12" name="include-after">
    <vt:lpwstr/>
  </property>
  <property fmtid="{D5CDD505-2E9C-101B-9397-08002B2CF9AE}" pid="13" name="include-before">
    <vt:lpwstr/>
  </property>
  <property fmtid="{D5CDD505-2E9C-101B-9397-08002B2CF9AE}" pid="14" name="labels">
    <vt:lpwstr/>
  </property>
  <property fmtid="{D5CDD505-2E9C-101B-9397-08002B2CF9AE}" pid="15" name="subtitle">
    <vt:lpwstr>Usporedba kreatorskih i službenih crkvenih izvora u hrvatskom digitalnom medijskom prostoru, 2021.–2026.</vt:lpwstr>
  </property>
  <property fmtid="{D5CDD505-2E9C-101B-9397-08002B2CF9AE}" pid="16" name="tbl-cap-location">
    <vt:lpwstr>top</vt:lpwstr>
  </property>
  <property fmtid="{D5CDD505-2E9C-101B-9397-08002B2CF9AE}" pid="17" name="toc-title">
    <vt:lpwstr>Table of contents</vt:lpwstr>
  </property>
</Properties>
</file>